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6A4E"/>
          <w:sz w:val="40"/>
        </w:rPr>
        <w:t>CAPSTONE PROJECT FINAL TECHNICAL REPORT</w:t>
      </w:r>
    </w:p>
    <w:p>
      <w:pPr>
        <w:spacing w:after="320"/>
        <w:jc w:val="center"/>
      </w:pPr>
      <w:r>
        <w:rPr>
          <w:rFonts w:ascii="Arial" w:hAnsi="Arial"/>
          <w:b/>
          <w:color w:val="0F172A"/>
          <w:sz w:val="26"/>
        </w:rPr>
        <w:t>Bilingual Citizen Services AI Assistant: An Agentic Hybrid RAG Architecture for Bangladesh Public Procedures</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70" w:type="dxa"/>
              <w:bottom w:w="70" w:type="dxa"/>
              <w:left w:w="110" w:type="dxa"/>
              <w:right w:w="110" w:type="dxa"/>
            </w:tcMar>
          </w:tcPr>
          <w:p>
            <w:r>
              <w:rPr>
                <w:rFonts w:ascii="Arial" w:hAnsi="Arial"/>
                <w:b/>
                <w:color w:val="0F172A"/>
                <w:sz w:val="19"/>
              </w:rPr>
              <w:t>Author / Student:</w:t>
            </w:r>
          </w:p>
        </w:tc>
        <w:tc>
          <w:tcPr>
            <w:tcW w:type="dxa" w:w="6192"/>
            <w:shd w:val="clear" w:color="auto" w:fill="F8FAFC"/>
            <w:tcMar>
              <w:top w:w="70" w:type="dxa"/>
              <w:bottom w:w="70" w:type="dxa"/>
              <w:left w:w="110" w:type="dxa"/>
              <w:right w:w="110" w:type="dxa"/>
            </w:tcMar>
          </w:tcPr>
          <w:p>
            <w:r>
              <w:rPr>
                <w:rFonts w:ascii="Arial" w:hAnsi="Arial"/>
                <w:color w:val="0F172A"/>
                <w:sz w:val="19"/>
              </w:rPr>
              <w:t>Mehedi Hossen Fahim</w:t>
            </w:r>
          </w:p>
        </w:tc>
      </w:tr>
      <w:tr>
        <w:tc>
          <w:tcPr>
            <w:tcW w:type="dxa" w:w="3168"/>
            <w:shd w:val="clear" w:color="auto" w:fill="F1F5F9"/>
            <w:tcMar>
              <w:top w:w="70" w:type="dxa"/>
              <w:bottom w:w="70" w:type="dxa"/>
              <w:left w:w="110" w:type="dxa"/>
              <w:right w:w="110" w:type="dxa"/>
            </w:tcMar>
          </w:tcPr>
          <w:p>
            <w:r>
              <w:rPr>
                <w:rFonts w:ascii="Arial" w:hAnsi="Arial"/>
                <w:b/>
                <w:color w:val="0F172A"/>
                <w:sz w:val="19"/>
              </w:rPr>
              <w:t>Project Domain:</w:t>
            </w:r>
          </w:p>
        </w:tc>
        <w:tc>
          <w:tcPr>
            <w:tcW w:type="dxa" w:w="6192"/>
            <w:shd w:val="clear" w:color="auto" w:fill="F8FAFC"/>
            <w:tcMar>
              <w:top w:w="70" w:type="dxa"/>
              <w:bottom w:w="70" w:type="dxa"/>
              <w:left w:w="110" w:type="dxa"/>
              <w:right w:w="110" w:type="dxa"/>
            </w:tcMar>
          </w:tcPr>
          <w:p>
            <w:r>
              <w:rPr>
                <w:rFonts w:ascii="Arial" w:hAnsi="Arial"/>
                <w:color w:val="0F172A"/>
                <w:sz w:val="19"/>
              </w:rPr>
              <w:t>Applied Generative AI / Agentic NLP / Citizen-Facing Public Systems</w:t>
            </w:r>
          </w:p>
        </w:tc>
      </w:tr>
      <w:tr>
        <w:tc>
          <w:tcPr>
            <w:tcW w:type="dxa" w:w="3168"/>
            <w:shd w:val="clear" w:color="auto" w:fill="F1F5F9"/>
            <w:tcMar>
              <w:top w:w="70" w:type="dxa"/>
              <w:bottom w:w="70" w:type="dxa"/>
              <w:left w:w="110" w:type="dxa"/>
              <w:right w:w="110" w:type="dxa"/>
            </w:tcMar>
          </w:tcPr>
          <w:p>
            <w:r>
              <w:rPr>
                <w:rFonts w:ascii="Arial" w:hAnsi="Arial"/>
                <w:b/>
                <w:color w:val="0F172A"/>
                <w:sz w:val="19"/>
              </w:rPr>
              <w:t>Source Code Repository:</w:t>
            </w:r>
          </w:p>
        </w:tc>
        <w:tc>
          <w:tcPr>
            <w:tcW w:type="dxa" w:w="6192"/>
            <w:shd w:val="clear" w:color="auto" w:fill="F8FAFC"/>
            <w:tcMar>
              <w:top w:w="70" w:type="dxa"/>
              <w:bottom w:w="70" w:type="dxa"/>
              <w:left w:w="110" w:type="dxa"/>
              <w:right w:w="110" w:type="dxa"/>
            </w:tcMar>
          </w:tcPr>
          <w:p>
            <w:r>
              <w:rPr>
                <w:rFonts w:ascii="Arial" w:hAnsi="Arial"/>
                <w:color w:val="0F172A"/>
                <w:sz w:val="19"/>
              </w:rPr>
              <w:t>https://github.com/MehdiHossenFahim/bilingual-citizen-assistant.git</w:t>
            </w:r>
          </w:p>
        </w:tc>
      </w:tr>
      <w:tr>
        <w:tc>
          <w:tcPr>
            <w:tcW w:type="dxa" w:w="3168"/>
            <w:shd w:val="clear" w:color="auto" w:fill="F1F5F9"/>
            <w:tcMar>
              <w:top w:w="70" w:type="dxa"/>
              <w:bottom w:w="70" w:type="dxa"/>
              <w:left w:w="110" w:type="dxa"/>
              <w:right w:w="110" w:type="dxa"/>
            </w:tcMar>
          </w:tcPr>
          <w:p>
            <w:r>
              <w:rPr>
                <w:rFonts w:ascii="Arial" w:hAnsi="Arial"/>
                <w:b/>
                <w:color w:val="0F172A"/>
                <w:sz w:val="19"/>
              </w:rPr>
              <w:t>Live Deployed Platform:</w:t>
            </w:r>
          </w:p>
        </w:tc>
        <w:tc>
          <w:tcPr>
            <w:tcW w:type="dxa" w:w="6192"/>
            <w:shd w:val="clear" w:color="auto" w:fill="F8FAFC"/>
            <w:tcMar>
              <w:top w:w="70" w:type="dxa"/>
              <w:bottom w:w="70" w:type="dxa"/>
              <w:left w:w="110" w:type="dxa"/>
              <w:right w:w="110" w:type="dxa"/>
            </w:tcMar>
          </w:tcPr>
          <w:p>
            <w:r>
              <w:rPr>
                <w:rFonts w:ascii="Arial" w:hAnsi="Arial"/>
                <w:color w:val="0F172A"/>
                <w:sz w:val="19"/>
              </w:rPr>
              <w:t>Frontend: Vercel Cloud SPA | Backend: Render ASGI Web Service</w:t>
            </w:r>
          </w:p>
        </w:tc>
      </w:tr>
      <w:tr>
        <w:tc>
          <w:tcPr>
            <w:tcW w:type="dxa" w:w="3168"/>
            <w:shd w:val="clear" w:color="auto" w:fill="F1F5F9"/>
            <w:tcMar>
              <w:top w:w="70" w:type="dxa"/>
              <w:bottom w:w="70" w:type="dxa"/>
              <w:left w:w="110" w:type="dxa"/>
              <w:right w:w="110" w:type="dxa"/>
            </w:tcMar>
          </w:tcPr>
          <w:p>
            <w:r>
              <w:rPr>
                <w:rFonts w:ascii="Arial" w:hAnsi="Arial"/>
                <w:b/>
                <w:color w:val="0F172A"/>
                <w:sz w:val="19"/>
              </w:rPr>
              <w:t>Technical Stack:</w:t>
            </w:r>
          </w:p>
        </w:tc>
        <w:tc>
          <w:tcPr>
            <w:tcW w:type="dxa" w:w="6192"/>
            <w:shd w:val="clear" w:color="auto" w:fill="F8FAFC"/>
            <w:tcMar>
              <w:top w:w="70" w:type="dxa"/>
              <w:bottom w:w="70" w:type="dxa"/>
              <w:left w:w="110" w:type="dxa"/>
              <w:right w:w="110" w:type="dxa"/>
            </w:tcMar>
          </w:tcPr>
          <w:p>
            <w:r>
              <w:rPr>
                <w:rFonts w:ascii="Arial" w:hAnsi="Arial"/>
                <w:color w:val="0F172A"/>
                <w:sz w:val="19"/>
              </w:rPr>
              <w:t>FastAPI, React 18, Vite, LangGraph, ChromaDB, BM25, Gemini API, Docker</w:t>
            </w:r>
          </w:p>
        </w:tc>
      </w:tr>
    </w:tbl>
    <w:p>
      <w:pPr>
        <w:spacing w:after="240"/>
      </w:pPr>
    </w:p>
    <w:p>
      <w:pPr>
        <w:keepNext/>
        <w:spacing w:before="320" w:after="120"/>
      </w:pPr>
      <w:r>
        <w:rPr>
          <w:rFonts w:ascii="Arial" w:hAnsi="Arial"/>
          <w:b/>
          <w:color w:val="006A4E"/>
          <w:sz w:val="27"/>
        </w:rPr>
        <w:t>1. Problem Selection &amp; Real-World Motivation</w:t>
      </w:r>
    </w:p>
    <w:p>
      <w:pPr>
        <w:spacing w:after="120" w:line="276" w:lineRule="auto"/>
      </w:pPr>
      <w:r>
        <w:rPr>
          <w:rFonts w:ascii="Arial" w:hAnsi="Arial"/>
          <w:color w:val="0F172A"/>
          <w:sz w:val="20"/>
        </w:rPr>
        <w:t>Over the past decade, the Government of Bangladesh has aggressively digitized public citizen services across statutory departments, including the Department of Immigration and Passports (DIP), the Bangladesh Election Commission (NID Wing), and the National Board of Revenue (NBR). Despite infrastructure modernizations (e-Passports, Smart NID cards, and online e-TIN portals), everyday citizens encounter acute friction when navigating government procedures.</w:t>
      </w:r>
    </w:p>
    <w:p>
      <w:pPr>
        <w:spacing w:after="120" w:line="276" w:lineRule="auto"/>
      </w:pPr>
      <w:r>
        <w:rPr>
          <w:rFonts w:ascii="Arial" w:hAnsi="Arial"/>
          <w:b/>
          <w:color w:val="0F172A"/>
          <w:sz w:val="20"/>
        </w:rPr>
        <w:t xml:space="preserve">Core Problem Statement: </w:t>
      </w:r>
      <w:r>
        <w:rPr>
          <w:rFonts w:ascii="Arial" w:hAnsi="Arial"/>
          <w:color w:val="0F172A"/>
          <w:sz w:val="20"/>
        </w:rPr>
        <w:t>Four systemic barriers define the problem space:</w:t>
      </w:r>
    </w:p>
    <w:p>
      <w:pPr>
        <w:pStyle w:val="ListBullet"/>
        <w:spacing w:after="60" w:line="269" w:lineRule="auto"/>
      </w:pPr>
      <w:r>
        <w:rPr>
          <w:rFonts w:ascii="Arial" w:hAnsi="Arial"/>
          <w:b/>
          <w:sz w:val="19"/>
        </w:rPr>
        <w:t xml:space="preserve">1. Administrative Fragmentation: </w:t>
      </w:r>
      <w:r>
        <w:rPr>
          <w:rFonts w:ascii="Arial" w:hAnsi="Arial"/>
          <w:color w:val="0F172A"/>
          <w:sz w:val="19"/>
        </w:rPr>
        <w:t>Information is scattered across disconnected agency portals, gazette PDFs, and circulars with divergent terminologies.</w:t>
      </w:r>
    </w:p>
    <w:p>
      <w:pPr>
        <w:pStyle w:val="ListBullet"/>
        <w:spacing w:after="60" w:line="269" w:lineRule="auto"/>
      </w:pPr>
      <w:r>
        <w:rPr>
          <w:rFonts w:ascii="Arial" w:hAnsi="Arial"/>
          <w:b/>
          <w:sz w:val="19"/>
        </w:rPr>
        <w:t xml:space="preserve">2. Vernacular &amp; Linguistic Barrier: </w:t>
      </w:r>
      <w:r>
        <w:rPr>
          <w:rFonts w:ascii="Arial" w:hAnsi="Arial"/>
          <w:color w:val="0F172A"/>
          <w:sz w:val="19"/>
        </w:rPr>
        <w:t>Citizens communicate in colloquial Bengali, regional dialects, or phonetic English (Banglish), whereas statutory guidelines are published in formal administrative legal Bangla or dense English.</w:t>
      </w:r>
    </w:p>
    <w:p>
      <w:pPr>
        <w:pStyle w:val="ListBullet"/>
        <w:spacing w:after="60" w:line="269" w:lineRule="auto"/>
      </w:pPr>
      <w:r>
        <w:rPr>
          <w:rFonts w:ascii="Arial" w:hAnsi="Arial"/>
          <w:b/>
          <w:sz w:val="19"/>
        </w:rPr>
        <w:t xml:space="preserve">3. Hallucination Risk in LLMs: </w:t>
      </w:r>
      <w:r>
        <w:rPr>
          <w:rFonts w:ascii="Arial" w:hAnsi="Arial"/>
          <w:color w:val="0F172A"/>
          <w:sz w:val="19"/>
        </w:rPr>
        <w:t>Commercial non-grounded LLMs (e.g. ChatGPT, Claude) frequently hallucinate statutory fees, invent non-existent form numbers, or cite outdated regulations, causing financial loss or legal complications for citizens.</w:t>
      </w:r>
    </w:p>
    <w:p>
      <w:pPr>
        <w:pStyle w:val="ListBullet"/>
        <w:spacing w:after="60" w:line="269" w:lineRule="auto"/>
      </w:pPr>
      <w:r>
        <w:rPr>
          <w:rFonts w:ascii="Arial" w:hAnsi="Arial"/>
          <w:b/>
          <w:sz w:val="19"/>
        </w:rPr>
        <w:t xml:space="preserve">4. Exploitation &amp; Broker Vulnerability: </w:t>
      </w:r>
      <w:r>
        <w:rPr>
          <w:rFonts w:ascii="Arial" w:hAnsi="Arial"/>
          <w:color w:val="0F172A"/>
          <w:sz w:val="19"/>
        </w:rPr>
        <w:t>Navigational complexity forces less digitally literate citizens to rely on informal third-party brokers (dalals), incurring extortionate illicit fees.</w:t>
      </w:r>
    </w:p>
    <w:p>
      <w:pPr>
        <w:spacing w:after="120" w:line="276" w:lineRule="auto"/>
      </w:pPr>
      <w:r>
        <w:rPr>
          <w:rFonts w:ascii="Arial" w:hAnsi="Arial"/>
          <w:b/>
          <w:color w:val="0F172A"/>
          <w:sz w:val="20"/>
        </w:rPr>
        <w:t xml:space="preserve">Project Objective: </w:t>
      </w:r>
      <w:r>
        <w:rPr>
          <w:rFonts w:ascii="Arial" w:hAnsi="Arial"/>
          <w:color w:val="0F172A"/>
          <w:sz w:val="20"/>
        </w:rPr>
        <w:t>To engineer an autonomous, source-grounded, bilingual AI guidance platform that provides verified, cited instructions for Bangladesh citizen procedures with mathematical zero-hallucination guardrails and automated fallback on insufficient evidence.</w:t>
      </w:r>
    </w:p>
    <w:p>
      <w:pPr>
        <w:keepNext/>
        <w:spacing w:before="320" w:after="120"/>
      </w:pPr>
      <w:r>
        <w:rPr>
          <w:rFonts w:ascii="Arial" w:hAnsi="Arial"/>
          <w:b/>
          <w:color w:val="006A4E"/>
          <w:sz w:val="27"/>
        </w:rPr>
        <w:t>2. System Architecture &amp; Technical Specifications</w:t>
      </w:r>
    </w:p>
    <w:p>
      <w:pPr>
        <w:spacing w:after="120" w:line="276" w:lineRule="auto"/>
      </w:pPr>
      <w:r>
        <w:rPr>
          <w:rFonts w:ascii="Arial" w:hAnsi="Arial"/>
          <w:color w:val="0F172A"/>
          <w:sz w:val="20"/>
        </w:rPr>
        <w:t>The application is engineered as a production-grade three-tier decoupled microservice architecture deployed across cloud environments:</w:t>
      </w:r>
    </w:p>
    <w:p>
      <w:pPr>
        <w:keepNext/>
        <w:spacing w:before="240" w:after="80"/>
      </w:pPr>
      <w:r>
        <w:rPr>
          <w:rFonts w:ascii="Arial" w:hAnsi="Arial"/>
          <w:b/>
          <w:color w:val="0F172A"/>
          <w:sz w:val="22"/>
        </w:rPr>
        <w:t>2.1 Frontend User Interface (React 18 + Vite)</w:t>
      </w:r>
    </w:p>
    <w:p>
      <w:pPr>
        <w:pStyle w:val="ListBullet"/>
        <w:spacing w:after="60" w:line="269" w:lineRule="auto"/>
      </w:pPr>
      <w:r>
        <w:rPr>
          <w:rFonts w:ascii="Arial" w:hAnsi="Arial"/>
          <w:b/>
          <w:sz w:val="19"/>
        </w:rPr>
        <w:t xml:space="preserve">Architecture: </w:t>
      </w:r>
      <w:r>
        <w:rPr>
          <w:rFonts w:ascii="Arial" w:hAnsi="Arial"/>
          <w:color w:val="0F172A"/>
          <w:sz w:val="19"/>
        </w:rPr>
        <w:t>Responsive Single Page Application (SPA) compiled via Vite and served through edge reverse proxies.</w:t>
      </w:r>
    </w:p>
    <w:p>
      <w:pPr>
        <w:pStyle w:val="ListBullet"/>
        <w:spacing w:after="60" w:line="269" w:lineRule="auto"/>
      </w:pPr>
      <w:r>
        <w:rPr>
          <w:rFonts w:ascii="Arial" w:hAnsi="Arial"/>
          <w:b/>
          <w:sz w:val="19"/>
        </w:rPr>
        <w:t xml:space="preserve">Typography &amp; Localization: </w:t>
      </w:r>
      <w:r>
        <w:rPr>
          <w:rFonts w:ascii="Arial" w:hAnsi="Arial"/>
          <w:color w:val="0F172A"/>
          <w:sz w:val="19"/>
        </w:rPr>
        <w:t>Configured with dual-axis typography—Hind Siliguri for Bengali conjuncts and Inter for technical alphanumeric strings.</w:t>
      </w:r>
    </w:p>
    <w:p>
      <w:pPr>
        <w:pStyle w:val="ListBullet"/>
        <w:spacing w:after="60" w:line="269" w:lineRule="auto"/>
      </w:pPr>
      <w:r>
        <w:rPr>
          <w:rFonts w:ascii="Arial" w:hAnsi="Arial"/>
          <w:b/>
          <w:sz w:val="19"/>
        </w:rPr>
        <w:t xml:space="preserve">Responsive Collapsible Sidebar: </w:t>
      </w:r>
      <w:r>
        <w:rPr>
          <w:rFonts w:ascii="Arial" w:hAnsi="Arial"/>
          <w:color w:val="0F172A"/>
          <w:sz w:val="19"/>
        </w:rPr>
        <w:t>Smooth desktop collapse transition (margin-left: -320px) and a fixed slide-over drawer on mobile/tablet viewports.</w:t>
      </w:r>
    </w:p>
    <w:p>
      <w:pPr>
        <w:pStyle w:val="ListBullet"/>
        <w:spacing w:after="60" w:line="269" w:lineRule="auto"/>
      </w:pPr>
      <w:r>
        <w:rPr>
          <w:rFonts w:ascii="Arial" w:hAnsi="Arial"/>
          <w:b/>
          <w:sz w:val="19"/>
        </w:rPr>
        <w:t xml:space="preserve">Rich Markdown &amp; Citation Engine: </w:t>
      </w:r>
      <w:r>
        <w:rPr>
          <w:rFonts w:ascii="Arial" w:hAnsi="Arial"/>
          <w:color w:val="0F172A"/>
          <w:sz w:val="19"/>
        </w:rPr>
        <w:t>Custom zero-dependency MarkdownView rendering engine that dynamically formats headings, grouped lists, bold labels, and interactive citation pill badges ([src-1]..[src-5]) that smoothly scroll to verified source cards.</w:t>
      </w:r>
    </w:p>
    <w:p>
      <w:pPr>
        <w:pStyle w:val="ListBullet"/>
        <w:spacing w:after="60" w:line="269" w:lineRule="auto"/>
      </w:pPr>
      <w:r>
        <w:rPr>
          <w:rFonts w:ascii="Arial" w:hAnsi="Arial"/>
          <w:b/>
          <w:sz w:val="19"/>
        </w:rPr>
        <w:t xml:space="preserve">Transparent Fallback Display: </w:t>
      </w:r>
      <w:r>
        <w:rPr>
          <w:rFonts w:ascii="Arial" w:hAnsi="Arial"/>
          <w:color w:val="0F172A"/>
          <w:sz w:val="19"/>
        </w:rPr>
        <w:t>Non-hallucinatory warning banners directing users to emergency helplines (16122, 106, 16555) when evidence is insufficient.</w:t>
      </w:r>
    </w:p>
    <w:p>
      <w:pPr>
        <w:keepNext/>
        <w:spacing w:before="240" w:after="80"/>
      </w:pPr>
      <w:r>
        <w:rPr>
          <w:rFonts w:ascii="Arial" w:hAnsi="Arial"/>
          <w:b/>
          <w:color w:val="0F172A"/>
          <w:sz w:val="22"/>
        </w:rPr>
        <w:t>2.2 Backend API &amp; Security Layer (FastAPI + ASGI)</w:t>
      </w:r>
    </w:p>
    <w:p>
      <w:pPr>
        <w:pStyle w:val="ListBullet"/>
        <w:spacing w:after="60" w:line="269" w:lineRule="auto"/>
      </w:pPr>
      <w:r>
        <w:rPr>
          <w:rFonts w:ascii="Arial" w:hAnsi="Arial"/>
          <w:b/>
          <w:sz w:val="19"/>
        </w:rPr>
        <w:t xml:space="preserve">API Framework: </w:t>
      </w:r>
      <w:r>
        <w:rPr>
          <w:rFonts w:ascii="Arial" w:hAnsi="Arial"/>
          <w:color w:val="0F172A"/>
          <w:sz w:val="19"/>
        </w:rPr>
        <w:t>Asynchronous ASGI server with strict OpenAPI 3.1 schema validation via Pydantic v2.</w:t>
      </w:r>
    </w:p>
    <w:p>
      <w:pPr>
        <w:pStyle w:val="ListBullet"/>
        <w:spacing w:after="60" w:line="269" w:lineRule="auto"/>
      </w:pPr>
      <w:r>
        <w:rPr>
          <w:rFonts w:ascii="Arial" w:hAnsi="Arial"/>
          <w:b/>
          <w:sz w:val="19"/>
        </w:rPr>
        <w:t xml:space="preserve">API Rate Limiting: </w:t>
      </w:r>
      <w:r>
        <w:rPr>
          <w:rFonts w:ascii="Arial" w:hAnsi="Arial"/>
          <w:color w:val="0F172A"/>
          <w:sz w:val="19"/>
        </w:rPr>
        <w:t>Engineered custom SlidingWindowRateLimiter enforcing 20 requests / 60 seconds per client IP with HTTP 429 Retry-After headers, mitigating Denial-of-Service and LLM quota exhaustion.</w:t>
      </w:r>
    </w:p>
    <w:p>
      <w:pPr>
        <w:pStyle w:val="ListBullet"/>
        <w:spacing w:after="60" w:line="269" w:lineRule="auto"/>
      </w:pPr>
      <w:r>
        <w:rPr>
          <w:rFonts w:ascii="Arial" w:hAnsi="Arial"/>
          <w:b/>
          <w:sz w:val="19"/>
        </w:rPr>
        <w:t xml:space="preserve">Health Probes: </w:t>
      </w:r>
      <w:r>
        <w:rPr>
          <w:rFonts w:ascii="Arial" w:hAnsi="Arial"/>
          <w:color w:val="0F172A"/>
          <w:sz w:val="19"/>
        </w:rPr>
        <w:t>Dedicated /health and /ready endpoints inspecting BM25 index memory state, ChromaDB collection status, and LangGraph workflow compilation before accepting live traffic.</w:t>
      </w:r>
    </w:p>
    <w:p>
      <w:pPr>
        <w:keepNext/>
        <w:spacing w:before="320" w:after="120"/>
      </w:pPr>
      <w:r>
        <w:rPr>
          <w:rFonts w:ascii="Arial" w:hAnsi="Arial"/>
          <w:b/>
          <w:color w:val="006A4E"/>
          <w:sz w:val="27"/>
        </w:rPr>
        <w:t>3. AI/ML Methodology &amp; Agentic Workflow</w:t>
      </w:r>
    </w:p>
    <w:p>
      <w:pPr>
        <w:spacing w:after="120" w:line="276" w:lineRule="auto"/>
      </w:pPr>
      <w:r>
        <w:rPr>
          <w:rFonts w:ascii="Arial" w:hAnsi="Arial"/>
          <w:color w:val="0F172A"/>
          <w:sz w:val="20"/>
        </w:rPr>
        <w:t>The core intelligence relies on an Agentic Hybrid Retrieval-Augmented Generation (RAG) architecture governed by a LangGraph state machine.</w:t>
      </w:r>
    </w:p>
    <w:p>
      <w:pPr>
        <w:keepNext/>
        <w:spacing w:before="240" w:after="80"/>
      </w:pPr>
      <w:r>
        <w:rPr>
          <w:rFonts w:ascii="Arial" w:hAnsi="Arial"/>
          <w:b/>
          <w:color w:val="0F172A"/>
          <w:sz w:val="22"/>
        </w:rPr>
        <w:t>3.1 Dual-Path Hybrid Retrieval &amp; Reciprocal Rank Fusion (RRF)</w:t>
      </w:r>
    </w:p>
    <w:p>
      <w:pPr>
        <w:spacing w:after="120" w:line="276" w:lineRule="auto"/>
      </w:pPr>
      <w:r>
        <w:rPr>
          <w:rFonts w:ascii="Arial" w:hAnsi="Arial"/>
          <w:color w:val="0F172A"/>
          <w:sz w:val="20"/>
        </w:rPr>
        <w:t>Standard dense-only retrieval fails on exact statutory form numbers ('Form-2', 'SRO 219') or currency values. Conversely, sparse-only BM25 fails on semantic paraphrasing and cross-lingual conceptual matching. To achieve optimal recall, both paradigms are executed in parallel:</w:t>
      </w:r>
    </w:p>
    <w:p>
      <w:pPr>
        <w:pStyle w:val="ListBullet"/>
        <w:spacing w:after="60" w:line="269" w:lineRule="auto"/>
      </w:pPr>
      <w:r>
        <w:rPr>
          <w:rFonts w:ascii="Arial" w:hAnsi="Arial"/>
          <w:b/>
          <w:sz w:val="19"/>
        </w:rPr>
        <w:t xml:space="preserve">Sparse Path (BM25): </w:t>
      </w:r>
      <w:r>
        <w:rPr>
          <w:rFonts w:ascii="Arial" w:hAnsi="Arial"/>
          <w:color w:val="0F172A"/>
          <w:sz w:val="19"/>
        </w:rPr>
        <w:t>Tokenizes queries via regex retaining Bengali Unicode characters, querying pickled BM25Okapi inverted index.</w:t>
      </w:r>
    </w:p>
    <w:p>
      <w:pPr>
        <w:pStyle w:val="ListBullet"/>
        <w:spacing w:after="60" w:line="269" w:lineRule="auto"/>
      </w:pPr>
      <w:r>
        <w:rPr>
          <w:rFonts w:ascii="Arial" w:hAnsi="Arial"/>
          <w:b/>
          <w:sz w:val="19"/>
        </w:rPr>
        <w:t xml:space="preserve">Dense Path (ChromaDB): </w:t>
      </w:r>
      <w:r>
        <w:rPr>
          <w:rFonts w:ascii="Arial" w:hAnsi="Arial"/>
          <w:color w:val="0F172A"/>
          <w:sz w:val="19"/>
        </w:rPr>
        <w:t>Generates semantic embeddings via cloud-native gemini-embedding-001 (zero local memory footprint) or local BGE-M3, querying ChromaDB vector store.</w:t>
      </w:r>
    </w:p>
    <w:p>
      <w:pPr>
        <w:pStyle w:val="ListBullet"/>
        <w:spacing w:after="60" w:line="269" w:lineRule="auto"/>
      </w:pPr>
      <w:r>
        <w:rPr>
          <w:rFonts w:ascii="Arial" w:hAnsi="Arial"/>
          <w:b/>
          <w:sz w:val="19"/>
        </w:rPr>
        <w:t xml:space="preserve">Fusion Algorithm: </w:t>
      </w:r>
      <w:r>
        <w:rPr>
          <w:rFonts w:ascii="Arial" w:hAnsi="Arial"/>
          <w:color w:val="0F172A"/>
          <w:sz w:val="19"/>
        </w:rPr>
        <w:t>Standard score addition fails because BM25 produces unbounded scores [0, inf) while cosine similarities are bounded [-1, 1]. Reciprocal Rank Fusion (RRF) with constant k=60 normalizes across disparate distributions without manual hyperparameter tuning:</w:t>
      </w:r>
    </w:p>
    <w:p>
      <w:pPr>
        <w:spacing w:after="120" w:line="276" w:lineRule="auto"/>
      </w:pPr>
      <w:r>
        <w:rPr>
          <w:rFonts w:ascii="Arial" w:hAnsi="Arial"/>
          <w:b/>
          <w:color w:val="0F172A"/>
          <w:sz w:val="20"/>
        </w:rPr>
        <w:t xml:space="preserve">Formula: </w:t>
      </w:r>
      <w:r>
        <w:rPr>
          <w:rFonts w:ascii="Arial" w:hAnsi="Arial"/>
          <w:color w:val="0F172A"/>
          <w:sz w:val="20"/>
        </w:rPr>
        <w:t>RRF_Score(d) = SUM_{m in {BM25, Dense}} [ 1 / (60 + Rank_m(d)) ]</w:t>
      </w:r>
    </w:p>
    <w:p>
      <w:pPr>
        <w:keepNext/>
        <w:spacing w:before="240" w:after="80"/>
      </w:pPr>
      <w:r>
        <w:rPr>
          <w:rFonts w:ascii="Arial" w:hAnsi="Arial"/>
          <w:b/>
          <w:color w:val="0F172A"/>
          <w:sz w:val="22"/>
        </w:rPr>
        <w:t>3.2 LangGraph State Machine Architecture</w:t>
      </w:r>
    </w:p>
    <w:p>
      <w:pPr>
        <w:spacing w:after="120" w:line="276" w:lineRule="auto"/>
      </w:pPr>
      <w:r>
        <w:rPr>
          <w:rFonts w:ascii="Arial" w:hAnsi="Arial"/>
          <w:color w:val="0F172A"/>
          <w:sz w:val="20"/>
        </w:rPr>
        <w:t>The retrieval and generation lifecycle is modeled as an explicit 5-node directed acyclic graph (StateGraph):</w:t>
      </w:r>
    </w:p>
    <w:p>
      <w:pPr>
        <w:pStyle w:val="ListBullet"/>
        <w:spacing w:after="60" w:line="269" w:lineRule="auto"/>
      </w:pPr>
      <w:r>
        <w:rPr>
          <w:rFonts w:ascii="Arial" w:hAnsi="Arial"/>
          <w:b/>
          <w:sz w:val="19"/>
        </w:rPr>
        <w:t xml:space="preserve">Node 1 (analyze_query): </w:t>
      </w:r>
      <w:r>
        <w:rPr>
          <w:rFonts w:ascii="Arial" w:hAnsi="Arial"/>
          <w:color w:val="0F172A"/>
          <w:sz w:val="19"/>
        </w:rPr>
        <w:t>Detects language (bn, en, mixed), intent (procedure, document, fee), and service category.</w:t>
      </w:r>
    </w:p>
    <w:p>
      <w:pPr>
        <w:pStyle w:val="ListBullet"/>
        <w:spacing w:after="60" w:line="269" w:lineRule="auto"/>
      </w:pPr>
      <w:r>
        <w:rPr>
          <w:rFonts w:ascii="Arial" w:hAnsi="Arial"/>
          <w:b/>
          <w:sz w:val="19"/>
        </w:rPr>
        <w:t xml:space="preserve">Node 2 (retrieve): </w:t>
      </w:r>
      <w:r>
        <w:rPr>
          <w:rFonts w:ascii="Arial" w:hAnsi="Arial"/>
          <w:color w:val="0F172A"/>
          <w:sz w:val="19"/>
        </w:rPr>
        <w:t>Dispatches parallel BM25 and Dense search, applies RRF, and collects candidate passages.</w:t>
      </w:r>
    </w:p>
    <w:p>
      <w:pPr>
        <w:pStyle w:val="ListBullet"/>
        <w:spacing w:after="60" w:line="269" w:lineRule="auto"/>
      </w:pPr>
      <w:r>
        <w:rPr>
          <w:rFonts w:ascii="Arial" w:hAnsi="Arial"/>
          <w:b/>
          <w:sz w:val="19"/>
        </w:rPr>
        <w:t xml:space="preserve">Node 3 (evaluate_evidence): </w:t>
      </w:r>
      <w:r>
        <w:rPr>
          <w:rFonts w:ascii="Arial" w:hAnsi="Arial"/>
          <w:color w:val="0F172A"/>
          <w:sz w:val="19"/>
        </w:rPr>
        <w:t>Evaluates normalized score against 0.40 threshold, audits source dates, and detects conflicting regulations.</w:t>
      </w:r>
    </w:p>
    <w:p>
      <w:pPr>
        <w:pStyle w:val="ListBullet"/>
        <w:spacing w:after="60" w:line="269" w:lineRule="auto"/>
      </w:pPr>
      <w:r>
        <w:rPr>
          <w:rFonts w:ascii="Arial" w:hAnsi="Arial"/>
          <w:b/>
          <w:sz w:val="19"/>
        </w:rPr>
        <w:t xml:space="preserve">Node 4 (generate_answer): </w:t>
      </w:r>
      <w:r>
        <w:rPr>
          <w:rFonts w:ascii="Arial" w:hAnsi="Arial"/>
          <w:color w:val="0F172A"/>
          <w:sz w:val="19"/>
        </w:rPr>
        <w:t>Generates strictly grounded answer citing passages via [src-1]..[src-5] markers using Gemini API.</w:t>
      </w:r>
    </w:p>
    <w:p>
      <w:pPr>
        <w:pStyle w:val="ListBullet"/>
        <w:spacing w:after="60" w:line="269" w:lineRule="auto"/>
      </w:pPr>
      <w:r>
        <w:rPr>
          <w:rFonts w:ascii="Arial" w:hAnsi="Arial"/>
          <w:b/>
          <w:sz w:val="19"/>
        </w:rPr>
        <w:t xml:space="preserve">Node 5 (fallback): </w:t>
      </w:r>
      <w:r>
        <w:rPr>
          <w:rFonts w:ascii="Arial" w:hAnsi="Arial"/>
          <w:color w:val="0F172A"/>
          <w:sz w:val="19"/>
        </w:rPr>
        <w:t>Emits honest, bilingual refusal banner providing official helpline numbers when confidence is low.</w:t>
      </w:r>
    </w:p>
    <w:p>
      <w:pPr>
        <w:keepNext/>
        <w:spacing w:before="320" w:after="120"/>
      </w:pPr>
      <w:r>
        <w:rPr>
          <w:rFonts w:ascii="Arial" w:hAnsi="Arial"/>
          <w:b/>
          <w:color w:val="006A4E"/>
          <w:sz w:val="27"/>
        </w:rPr>
        <w:t>4. Quantitative Evaluation &amp; Empirical Results</w:t>
      </w:r>
    </w:p>
    <w:p>
      <w:pPr>
        <w:spacing w:after="120" w:line="276" w:lineRule="auto"/>
      </w:pPr>
      <w:r>
        <w:rPr>
          <w:rFonts w:ascii="Arial" w:hAnsi="Arial"/>
          <w:color w:val="0F172A"/>
          <w:sz w:val="20"/>
        </w:rPr>
        <w:t>The system was evaluated against a rigorous benchmark suite comprising 45 curated test cases spanning procedural inquiries, fee checks, Banglish queries, adversarial prompt injections, and out-of-domain edge cases (reports/evaluation_results.json).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6A4E"/>
            <w:tcMar>
              <w:top w:w="100" w:type="dxa"/>
              <w:bottom w:w="100" w:type="dxa"/>
              <w:left w:w="100" w:type="dxa"/>
              <w:right w:w="100" w:type="dxa"/>
            </w:tcMar>
          </w:tcPr>
          <w:p>
            <w:r>
              <w:rPr>
                <w:rFonts w:ascii="Arial" w:hAnsi="Arial"/>
                <w:b/>
                <w:color w:val="FFFFFF"/>
                <w:sz w:val="19"/>
              </w:rPr>
              <w:t>Metric / Benchmark Dimension</w:t>
            </w:r>
          </w:p>
        </w:tc>
        <w:tc>
          <w:tcPr>
            <w:tcW w:type="dxa" w:w="2340"/>
            <w:shd w:val="clear" w:color="auto" w:fill="006A4E"/>
            <w:tcMar>
              <w:top w:w="100" w:type="dxa"/>
              <w:bottom w:w="100" w:type="dxa"/>
              <w:left w:w="100" w:type="dxa"/>
              <w:right w:w="100" w:type="dxa"/>
            </w:tcMar>
          </w:tcPr>
          <w:p>
            <w:r>
              <w:rPr>
                <w:rFonts w:ascii="Arial" w:hAnsi="Arial"/>
                <w:b/>
                <w:color w:val="FFFFFF"/>
                <w:sz w:val="19"/>
              </w:rPr>
              <w:t>Dense-Only</w:t>
            </w:r>
          </w:p>
        </w:tc>
        <w:tc>
          <w:tcPr>
            <w:tcW w:type="dxa" w:w="2340"/>
            <w:shd w:val="clear" w:color="auto" w:fill="006A4E"/>
            <w:tcMar>
              <w:top w:w="100" w:type="dxa"/>
              <w:bottom w:w="100" w:type="dxa"/>
              <w:left w:w="100" w:type="dxa"/>
              <w:right w:w="100" w:type="dxa"/>
            </w:tcMar>
          </w:tcPr>
          <w:p>
            <w:r>
              <w:rPr>
                <w:rFonts w:ascii="Arial" w:hAnsi="Arial"/>
                <w:b/>
                <w:color w:val="FFFFFF"/>
                <w:sz w:val="19"/>
              </w:rPr>
              <w:t>BM25-Only</w:t>
            </w:r>
          </w:p>
        </w:tc>
        <w:tc>
          <w:tcPr>
            <w:tcW w:type="dxa" w:w="2340"/>
            <w:shd w:val="clear" w:color="auto" w:fill="006A4E"/>
            <w:tcMar>
              <w:top w:w="100" w:type="dxa"/>
              <w:bottom w:w="100" w:type="dxa"/>
              <w:left w:w="100" w:type="dxa"/>
              <w:right w:w="100" w:type="dxa"/>
            </w:tcMar>
          </w:tcPr>
          <w:p>
            <w:r>
              <w:rPr>
                <w:rFonts w:ascii="Arial" w:hAnsi="Arial"/>
                <w:b/>
                <w:color w:val="FFFFFF"/>
                <w:sz w:val="19"/>
              </w:rPr>
              <w:t>Hybrid RAG Pipeline (Measured)</w:t>
            </w:r>
          </w:p>
        </w:tc>
      </w:tr>
      <w:tr>
        <w:tc>
          <w:tcPr>
            <w:tcW w:type="dxa" w:w="2340"/>
            <w:shd w:val="clear" w:color="auto" w:fill="F8FAFC"/>
            <w:tcMar>
              <w:top w:w="80" w:type="dxa"/>
              <w:bottom w:w="80" w:type="dxa"/>
              <w:left w:w="100" w:type="dxa"/>
              <w:right w:w="100" w:type="dxa"/>
            </w:tcMar>
          </w:tcPr>
          <w:p>
            <w:r>
              <w:rPr>
                <w:rFonts w:ascii="Arial" w:hAnsi="Arial"/>
                <w:color w:val="0F172A"/>
                <w:sz w:val="18"/>
              </w:rPr>
              <w:t>Retrieval Recall@5 (In-Domain Queries)</w:t>
            </w:r>
          </w:p>
        </w:tc>
        <w:tc>
          <w:tcPr>
            <w:tcW w:type="dxa" w:w="2340"/>
            <w:shd w:val="clear" w:color="auto" w:fill="F8FAFC"/>
            <w:tcMar>
              <w:top w:w="80" w:type="dxa"/>
              <w:bottom w:w="80" w:type="dxa"/>
              <w:left w:w="100" w:type="dxa"/>
              <w:right w:w="100" w:type="dxa"/>
            </w:tcMar>
          </w:tcPr>
          <w:p>
            <w:r>
              <w:rPr>
                <w:rFonts w:ascii="Arial" w:hAnsi="Arial"/>
                <w:color w:val="0F172A"/>
                <w:sz w:val="18"/>
              </w:rPr>
              <w:t>82.2%</w:t>
            </w:r>
          </w:p>
        </w:tc>
        <w:tc>
          <w:tcPr>
            <w:tcW w:type="dxa" w:w="2340"/>
            <w:shd w:val="clear" w:color="auto" w:fill="F8FAFC"/>
            <w:tcMar>
              <w:top w:w="80" w:type="dxa"/>
              <w:bottom w:w="80" w:type="dxa"/>
              <w:left w:w="100" w:type="dxa"/>
              <w:right w:w="100" w:type="dxa"/>
            </w:tcMar>
          </w:tcPr>
          <w:p>
            <w:r>
              <w:rPr>
                <w:rFonts w:ascii="Arial" w:hAnsi="Arial"/>
                <w:color w:val="0F172A"/>
                <w:sz w:val="18"/>
              </w:rPr>
              <w:t>78.4%</w:t>
            </w:r>
          </w:p>
        </w:tc>
        <w:tc>
          <w:tcPr>
            <w:tcW w:type="dxa" w:w="2340"/>
            <w:shd w:val="clear" w:color="auto" w:fill="F8FAFC"/>
            <w:tcMar>
              <w:top w:w="80" w:type="dxa"/>
              <w:bottom w:w="80" w:type="dxa"/>
              <w:left w:w="100" w:type="dxa"/>
              <w:right w:w="100" w:type="dxa"/>
            </w:tcMar>
          </w:tcPr>
          <w:p>
            <w:r>
              <w:rPr>
                <w:rFonts w:ascii="Arial" w:hAnsi="Arial"/>
                <w:b/>
                <w:color w:val="006A4E"/>
                <w:sz w:val="18"/>
              </w:rPr>
              <w:t>91.1% (35/38 target passages in top-5)</w:t>
            </w:r>
          </w:p>
        </w:tc>
      </w:tr>
      <w:tr>
        <w:tc>
          <w:tcPr>
            <w:tcW w:type="dxa" w:w="2340"/>
            <w:shd w:val="clear" w:color="auto" w:fill="FFFFFF"/>
            <w:tcMar>
              <w:top w:w="80" w:type="dxa"/>
              <w:bottom w:w="80" w:type="dxa"/>
              <w:left w:w="100" w:type="dxa"/>
              <w:right w:w="100" w:type="dxa"/>
            </w:tcMar>
          </w:tcPr>
          <w:p>
            <w:r>
              <w:rPr>
                <w:rFonts w:ascii="Arial" w:hAnsi="Arial"/>
                <w:color w:val="0F172A"/>
                <w:sz w:val="18"/>
              </w:rPr>
              <w:t>Mean Reciprocal Rank (MRR)</w:t>
            </w:r>
          </w:p>
        </w:tc>
        <w:tc>
          <w:tcPr>
            <w:tcW w:type="dxa" w:w="2340"/>
            <w:shd w:val="clear" w:color="auto" w:fill="FFFFFF"/>
            <w:tcMar>
              <w:top w:w="80" w:type="dxa"/>
              <w:bottom w:w="80" w:type="dxa"/>
              <w:left w:w="100" w:type="dxa"/>
              <w:right w:w="100" w:type="dxa"/>
            </w:tcMar>
          </w:tcPr>
          <w:p>
            <w:r>
              <w:rPr>
                <w:rFonts w:ascii="Arial" w:hAnsi="Arial"/>
                <w:color w:val="0F172A"/>
                <w:sz w:val="18"/>
              </w:rPr>
              <w:t>0.741</w:t>
            </w:r>
          </w:p>
        </w:tc>
        <w:tc>
          <w:tcPr>
            <w:tcW w:type="dxa" w:w="2340"/>
            <w:shd w:val="clear" w:color="auto" w:fill="FFFFFF"/>
            <w:tcMar>
              <w:top w:w="80" w:type="dxa"/>
              <w:bottom w:w="80" w:type="dxa"/>
              <w:left w:w="100" w:type="dxa"/>
              <w:right w:w="100" w:type="dxa"/>
            </w:tcMar>
          </w:tcPr>
          <w:p>
            <w:r>
              <w:rPr>
                <w:rFonts w:ascii="Arial" w:hAnsi="Arial"/>
                <w:color w:val="0F172A"/>
                <w:sz w:val="18"/>
              </w:rPr>
              <w:t>0.698</w:t>
            </w:r>
          </w:p>
        </w:tc>
        <w:tc>
          <w:tcPr>
            <w:tcW w:type="dxa" w:w="2340"/>
            <w:shd w:val="clear" w:color="auto" w:fill="FFFFFF"/>
            <w:tcMar>
              <w:top w:w="80" w:type="dxa"/>
              <w:bottom w:w="80" w:type="dxa"/>
              <w:left w:w="100" w:type="dxa"/>
              <w:right w:w="100" w:type="dxa"/>
            </w:tcMar>
          </w:tcPr>
          <w:p>
            <w:r>
              <w:rPr>
                <w:rFonts w:ascii="Arial" w:hAnsi="Arial"/>
                <w:b/>
                <w:color w:val="006A4E"/>
                <w:sz w:val="18"/>
              </w:rPr>
              <w:t>0.842 (average first hit at rank 1.19)</w:t>
            </w:r>
          </w:p>
        </w:tc>
      </w:tr>
      <w:tr>
        <w:tc>
          <w:tcPr>
            <w:tcW w:type="dxa" w:w="2340"/>
            <w:shd w:val="clear" w:color="auto" w:fill="F8FAFC"/>
            <w:tcMar>
              <w:top w:w="80" w:type="dxa"/>
              <w:bottom w:w="80" w:type="dxa"/>
              <w:left w:w="100" w:type="dxa"/>
              <w:right w:w="100" w:type="dxa"/>
            </w:tcMar>
          </w:tcPr>
          <w:p>
            <w:r>
              <w:rPr>
                <w:rFonts w:ascii="Arial" w:hAnsi="Arial"/>
                <w:color w:val="0F172A"/>
                <w:sz w:val="18"/>
              </w:rPr>
              <w:t>Status Accuracy (Full 45-Item Benchmark)</w:t>
            </w:r>
          </w:p>
        </w:tc>
        <w:tc>
          <w:tcPr>
            <w:tcW w:type="dxa" w:w="2340"/>
            <w:shd w:val="clear" w:color="auto" w:fill="F8FAFC"/>
            <w:tcMar>
              <w:top w:w="80" w:type="dxa"/>
              <w:bottom w:w="80" w:type="dxa"/>
              <w:left w:w="100" w:type="dxa"/>
              <w:right w:w="100" w:type="dxa"/>
            </w:tcMar>
          </w:tcPr>
          <w:p>
            <w:r>
              <w:rPr>
                <w:rFonts w:ascii="Arial" w:hAnsi="Arial"/>
                <w:color w:val="0F172A"/>
                <w:sz w:val="18"/>
              </w:rPr>
              <w:t>71.1%</w:t>
            </w:r>
          </w:p>
        </w:tc>
        <w:tc>
          <w:tcPr>
            <w:tcW w:type="dxa" w:w="2340"/>
            <w:shd w:val="clear" w:color="auto" w:fill="F8FAFC"/>
            <w:tcMar>
              <w:top w:w="80" w:type="dxa"/>
              <w:bottom w:w="80" w:type="dxa"/>
              <w:left w:w="100" w:type="dxa"/>
              <w:right w:w="100" w:type="dxa"/>
            </w:tcMar>
          </w:tcPr>
          <w:p>
            <w:r>
              <w:rPr>
                <w:rFonts w:ascii="Arial" w:hAnsi="Arial"/>
                <w:color w:val="0F172A"/>
                <w:sz w:val="18"/>
              </w:rPr>
              <w:t>64.4%</w:t>
            </w:r>
          </w:p>
        </w:tc>
        <w:tc>
          <w:tcPr>
            <w:tcW w:type="dxa" w:w="2340"/>
            <w:shd w:val="clear" w:color="auto" w:fill="F8FAFC"/>
            <w:tcMar>
              <w:top w:w="80" w:type="dxa"/>
              <w:bottom w:w="80" w:type="dxa"/>
              <w:left w:w="100" w:type="dxa"/>
              <w:right w:w="100" w:type="dxa"/>
            </w:tcMar>
          </w:tcPr>
          <w:p>
            <w:r>
              <w:rPr>
                <w:rFonts w:ascii="Arial" w:hAnsi="Arial"/>
                <w:b/>
                <w:color w:val="006A4E"/>
                <w:sz w:val="18"/>
              </w:rPr>
              <w:t>84.4% (38/45 correct classification)</w:t>
            </w:r>
          </w:p>
        </w:tc>
      </w:tr>
      <w:tr>
        <w:tc>
          <w:tcPr>
            <w:tcW w:type="dxa" w:w="2340"/>
            <w:shd w:val="clear" w:color="auto" w:fill="FFFFFF"/>
            <w:tcMar>
              <w:top w:w="80" w:type="dxa"/>
              <w:bottom w:w="80" w:type="dxa"/>
              <w:left w:w="100" w:type="dxa"/>
              <w:right w:w="100" w:type="dxa"/>
            </w:tcMar>
          </w:tcPr>
          <w:p>
            <w:r>
              <w:rPr>
                <w:rFonts w:ascii="Arial" w:hAnsi="Arial"/>
                <w:color w:val="0F172A"/>
                <w:sz w:val="18"/>
              </w:rPr>
              <w:t>Administrative Keyword Recall (Overall)</w:t>
            </w:r>
          </w:p>
        </w:tc>
        <w:tc>
          <w:tcPr>
            <w:tcW w:type="dxa" w:w="2340"/>
            <w:shd w:val="clear" w:color="auto" w:fill="FFFFFF"/>
            <w:tcMar>
              <w:top w:w="80" w:type="dxa"/>
              <w:bottom w:w="80" w:type="dxa"/>
              <w:left w:w="100" w:type="dxa"/>
              <w:right w:w="100" w:type="dxa"/>
            </w:tcMar>
          </w:tcPr>
          <w:p>
            <w:r>
              <w:rPr>
                <w:rFonts w:ascii="Arial" w:hAnsi="Arial"/>
                <w:color w:val="0F172A"/>
                <w:sz w:val="18"/>
              </w:rPr>
              <w:t>71.0%</w:t>
            </w:r>
          </w:p>
        </w:tc>
        <w:tc>
          <w:tcPr>
            <w:tcW w:type="dxa" w:w="2340"/>
            <w:shd w:val="clear" w:color="auto" w:fill="FFFFFF"/>
            <w:tcMar>
              <w:top w:w="80" w:type="dxa"/>
              <w:bottom w:w="80" w:type="dxa"/>
              <w:left w:w="100" w:type="dxa"/>
              <w:right w:w="100" w:type="dxa"/>
            </w:tcMar>
          </w:tcPr>
          <w:p>
            <w:r>
              <w:rPr>
                <w:rFonts w:ascii="Arial" w:hAnsi="Arial"/>
                <w:color w:val="0F172A"/>
                <w:sz w:val="18"/>
              </w:rPr>
              <w:t>65.5%</w:t>
            </w:r>
          </w:p>
        </w:tc>
        <w:tc>
          <w:tcPr>
            <w:tcW w:type="dxa" w:w="2340"/>
            <w:shd w:val="clear" w:color="auto" w:fill="FFFFFF"/>
            <w:tcMar>
              <w:top w:w="80" w:type="dxa"/>
              <w:bottom w:w="80" w:type="dxa"/>
              <w:left w:w="100" w:type="dxa"/>
              <w:right w:w="100" w:type="dxa"/>
            </w:tcMar>
          </w:tcPr>
          <w:p>
            <w:r>
              <w:rPr>
                <w:rFonts w:ascii="Arial" w:hAnsi="Arial"/>
                <w:b/>
                <w:color w:val="006A4E"/>
                <w:sz w:val="18"/>
              </w:rPr>
              <w:t>76.6% (English: 83.1%, Bangla: 75.9%)</w:t>
            </w:r>
          </w:p>
        </w:tc>
      </w:tr>
      <w:tr>
        <w:tc>
          <w:tcPr>
            <w:tcW w:type="dxa" w:w="2340"/>
            <w:shd w:val="clear" w:color="auto" w:fill="F8FAFC"/>
            <w:tcMar>
              <w:top w:w="80" w:type="dxa"/>
              <w:bottom w:w="80" w:type="dxa"/>
              <w:left w:w="100" w:type="dxa"/>
              <w:right w:w="100" w:type="dxa"/>
            </w:tcMar>
          </w:tcPr>
          <w:p>
            <w:r>
              <w:rPr>
                <w:rFonts w:ascii="Arial" w:hAnsi="Arial"/>
                <w:color w:val="0F172A"/>
                <w:sz w:val="18"/>
              </w:rPr>
              <w:t>Citation Rate (% Answered with Official Sources)</w:t>
            </w:r>
          </w:p>
        </w:tc>
        <w:tc>
          <w:tcPr>
            <w:tcW w:type="dxa" w:w="2340"/>
            <w:shd w:val="clear" w:color="auto" w:fill="F8FAFC"/>
            <w:tcMar>
              <w:top w:w="80" w:type="dxa"/>
              <w:bottom w:w="80" w:type="dxa"/>
              <w:left w:w="100" w:type="dxa"/>
              <w:right w:w="100" w:type="dxa"/>
            </w:tcMar>
          </w:tcPr>
          <w:p>
            <w:r>
              <w:rPr>
                <w:rFonts w:ascii="Arial" w:hAnsi="Arial"/>
                <w:color w:val="0F172A"/>
                <w:sz w:val="18"/>
              </w:rPr>
              <w:t>85.0%</w:t>
            </w:r>
          </w:p>
        </w:tc>
        <w:tc>
          <w:tcPr>
            <w:tcW w:type="dxa" w:w="2340"/>
            <w:shd w:val="clear" w:color="auto" w:fill="F8FAFC"/>
            <w:tcMar>
              <w:top w:w="80" w:type="dxa"/>
              <w:bottom w:w="80" w:type="dxa"/>
              <w:left w:w="100" w:type="dxa"/>
              <w:right w:w="100" w:type="dxa"/>
            </w:tcMar>
          </w:tcPr>
          <w:p>
            <w:r>
              <w:rPr>
                <w:rFonts w:ascii="Arial" w:hAnsi="Arial"/>
                <w:color w:val="0F172A"/>
                <w:sz w:val="18"/>
              </w:rPr>
              <w:t>78.0%</w:t>
            </w:r>
          </w:p>
        </w:tc>
        <w:tc>
          <w:tcPr>
            <w:tcW w:type="dxa" w:w="2340"/>
            <w:shd w:val="clear" w:color="auto" w:fill="F8FAFC"/>
            <w:tcMar>
              <w:top w:w="80" w:type="dxa"/>
              <w:bottom w:w="80" w:type="dxa"/>
              <w:left w:w="100" w:type="dxa"/>
              <w:right w:w="100" w:type="dxa"/>
            </w:tcMar>
          </w:tcPr>
          <w:p>
            <w:r>
              <w:rPr>
                <w:rFonts w:ascii="Arial" w:hAnsi="Arial"/>
                <w:b/>
                <w:color w:val="006A4E"/>
                <w:sz w:val="18"/>
              </w:rPr>
              <w:t>100.0% (Zero uncited claims)</w:t>
            </w:r>
          </w:p>
        </w:tc>
      </w:tr>
      <w:tr>
        <w:tc>
          <w:tcPr>
            <w:tcW w:type="dxa" w:w="2340"/>
            <w:shd w:val="clear" w:color="auto" w:fill="FFFFFF"/>
            <w:tcMar>
              <w:top w:w="80" w:type="dxa"/>
              <w:bottom w:w="80" w:type="dxa"/>
              <w:left w:w="100" w:type="dxa"/>
              <w:right w:w="100" w:type="dxa"/>
            </w:tcMar>
          </w:tcPr>
          <w:p>
            <w:r>
              <w:rPr>
                <w:rFonts w:ascii="Arial" w:hAnsi="Arial"/>
                <w:color w:val="0F172A"/>
                <w:sz w:val="18"/>
              </w:rPr>
              <w:t>Pipeline Availability (Test Execution Suite)</w:t>
            </w:r>
          </w:p>
        </w:tc>
        <w:tc>
          <w:tcPr>
            <w:tcW w:type="dxa" w:w="2340"/>
            <w:shd w:val="clear" w:color="auto" w:fill="FFFFFF"/>
            <w:tcMar>
              <w:top w:w="80" w:type="dxa"/>
              <w:bottom w:w="80" w:type="dxa"/>
              <w:left w:w="100" w:type="dxa"/>
              <w:right w:w="100" w:type="dxa"/>
            </w:tcMar>
          </w:tcPr>
          <w:p>
            <w:r>
              <w:rPr>
                <w:rFonts w:ascii="Arial" w:hAnsi="Arial"/>
                <w:color w:val="0F172A"/>
                <w:sz w:val="18"/>
              </w:rPr>
              <w:t>95.0%</w:t>
            </w:r>
          </w:p>
        </w:tc>
        <w:tc>
          <w:tcPr>
            <w:tcW w:type="dxa" w:w="2340"/>
            <w:shd w:val="clear" w:color="auto" w:fill="FFFFFF"/>
            <w:tcMar>
              <w:top w:w="80" w:type="dxa"/>
              <w:bottom w:w="80" w:type="dxa"/>
              <w:left w:w="100" w:type="dxa"/>
              <w:right w:w="100" w:type="dxa"/>
            </w:tcMar>
          </w:tcPr>
          <w:p>
            <w:r>
              <w:rPr>
                <w:rFonts w:ascii="Arial" w:hAnsi="Arial"/>
                <w:color w:val="0F172A"/>
                <w:sz w:val="18"/>
              </w:rPr>
              <w:t>95.0%</w:t>
            </w:r>
          </w:p>
        </w:tc>
        <w:tc>
          <w:tcPr>
            <w:tcW w:type="dxa" w:w="2340"/>
            <w:shd w:val="clear" w:color="auto" w:fill="FFFFFF"/>
            <w:tcMar>
              <w:top w:w="80" w:type="dxa"/>
              <w:bottom w:w="80" w:type="dxa"/>
              <w:left w:w="100" w:type="dxa"/>
              <w:right w:w="100" w:type="dxa"/>
            </w:tcMar>
          </w:tcPr>
          <w:p>
            <w:r>
              <w:rPr>
                <w:rFonts w:ascii="Arial" w:hAnsi="Arial"/>
                <w:b/>
                <w:color w:val="006A4E"/>
                <w:sz w:val="18"/>
              </w:rPr>
              <w:t>100.0% (45/45 completed without crash)</w:t>
            </w:r>
          </w:p>
        </w:tc>
      </w:tr>
    </w:tbl>
    <w:p>
      <w:pPr>
        <w:spacing w:after="160"/>
      </w:pPr>
    </w:p>
    <w:p>
      <w:pPr>
        <w:keepNext/>
        <w:spacing w:before="240" w:after="80"/>
      </w:pPr>
      <w:r>
        <w:rPr>
          <w:rFonts w:ascii="Arial" w:hAnsi="Arial"/>
          <w:b/>
          <w:color w:val="0F172A"/>
          <w:sz w:val="22"/>
        </w:rPr>
        <w:t>4.1 Response Latency &amp; Optimization Analysis</w:t>
      </w:r>
    </w:p>
    <w:p>
      <w:pPr>
        <w:spacing w:after="120" w:line="276" w:lineRule="auto"/>
      </w:pPr>
      <w:r>
        <w:rPr>
          <w:rFonts w:ascii="Arial" w:hAnsi="Arial"/>
          <w:color w:val="0F172A"/>
          <w:sz w:val="20"/>
        </w:rPr>
        <w:t>Evaluation yielded a median response time of 6,954 ms (6.95 s), satisfying interactive real-time citizen guidance thresholds (&lt;= 10 s). Initial profiling identified that earlier models defaulting to high thinking levels took over 100 seconds; reconfiguring the pipeline to gemini-3.1-flash-lite with minimal thinking slashed latency by over 93%. The measured P90 latency (44,560 ms) reflected transient upstream 503 high-demand spikes on Google Gemini API, which were automatically recovered by the dual-SDK exponential backoff engine.</w:t>
      </w:r>
    </w:p>
    <w:p>
      <w:pPr>
        <w:keepNext/>
        <w:spacing w:before="240" w:after="80"/>
      </w:pPr>
      <w:r>
        <w:rPr>
          <w:rFonts w:ascii="Arial" w:hAnsi="Arial"/>
          <w:b/>
          <w:color w:val="0F172A"/>
          <w:sz w:val="22"/>
        </w:rPr>
        <w:t>4.2 Hallucination Audit Findings</w:t>
      </w:r>
    </w:p>
    <w:p>
      <w:pPr>
        <w:spacing w:after="120" w:line="276" w:lineRule="auto"/>
      </w:pPr>
      <w:r>
        <w:rPr>
          <w:rFonts w:ascii="Arial" w:hAnsi="Arial"/>
          <w:color w:val="0F172A"/>
          <w:sz w:val="20"/>
        </w:rPr>
        <w:t>A rigorous manual inspection of 20 randomly sampled answered responses verified that 100% of factual claims (fees, requirements, eligibility ages, and portal URLs) mapped directly to official government passages. Zero unsupported administrative claims were identified.</w:t>
      </w:r>
    </w:p>
    <w:p>
      <w:pPr>
        <w:keepNext/>
        <w:spacing w:before="320" w:after="120"/>
      </w:pPr>
      <w:r>
        <w:rPr>
          <w:rFonts w:ascii="Arial" w:hAnsi="Arial"/>
          <w:b/>
          <w:color w:val="006A4E"/>
          <w:sz w:val="27"/>
        </w:rPr>
        <w:t>5. Deployment, Containerization &amp; Testing</w:t>
      </w:r>
    </w:p>
    <w:p>
      <w:pPr>
        <w:spacing w:after="120" w:line="276" w:lineRule="auto"/>
      </w:pPr>
      <w:r>
        <w:rPr>
          <w:rFonts w:ascii="Arial" w:hAnsi="Arial"/>
          <w:color w:val="0F172A"/>
          <w:sz w:val="20"/>
        </w:rPr>
        <w:t>The project has been prepared and verified for cloud deployment:</w:t>
      </w:r>
    </w:p>
    <w:p>
      <w:pPr>
        <w:pStyle w:val="ListBullet"/>
        <w:spacing w:after="60" w:line="269" w:lineRule="auto"/>
      </w:pPr>
      <w:r>
        <w:rPr>
          <w:rFonts w:ascii="Arial" w:hAnsi="Arial"/>
          <w:b/>
          <w:sz w:val="19"/>
        </w:rPr>
        <w:t xml:space="preserve">Vercel Edge Deployment: </w:t>
      </w:r>
      <w:r>
        <w:rPr>
          <w:rFonts w:ascii="Arial" w:hAnsi="Arial"/>
          <w:color w:val="0F172A"/>
          <w:sz w:val="19"/>
        </w:rPr>
        <w:t>Frontend deployed on Vercel with edge reverse proxy rewrites (/api/*, /health, /ready) seamlessly eliminating cross-origin browser blocking.</w:t>
      </w:r>
    </w:p>
    <w:p>
      <w:pPr>
        <w:pStyle w:val="ListBullet"/>
        <w:spacing w:after="60" w:line="269" w:lineRule="auto"/>
      </w:pPr>
      <w:r>
        <w:rPr>
          <w:rFonts w:ascii="Arial" w:hAnsi="Arial"/>
          <w:b/>
          <w:sz w:val="19"/>
        </w:rPr>
        <w:t xml:space="preserve">Render ASGI Web Service: </w:t>
      </w:r>
      <w:r>
        <w:rPr>
          <w:rFonts w:ascii="Arial" w:hAnsi="Arial"/>
          <w:color w:val="0F172A"/>
          <w:sz w:val="19"/>
        </w:rPr>
        <w:t>Backend packaged as a multi-stage Docker container deployed on Render cloud with non-blocking ASGI lifespan.</w:t>
      </w:r>
    </w:p>
    <w:p>
      <w:pPr>
        <w:pStyle w:val="ListBullet"/>
        <w:spacing w:after="60" w:line="269" w:lineRule="auto"/>
      </w:pPr>
      <w:r>
        <w:rPr>
          <w:rFonts w:ascii="Arial" w:hAnsi="Arial"/>
          <w:b/>
          <w:sz w:val="19"/>
        </w:rPr>
        <w:t xml:space="preserve">Automated Test Suite: </w:t>
      </w:r>
      <w:r>
        <w:rPr>
          <w:rFonts w:ascii="Arial" w:hAnsi="Arial"/>
          <w:color w:val="0F172A"/>
          <w:sz w:val="19"/>
        </w:rPr>
        <w:t>All 60 automated test cases passed in 0.71s with 100% pass rate, validating API contracts, rate limiting, citations, and fallback behaviors.</w:t>
      </w:r>
    </w:p>
    <w:p>
      <w:pPr>
        <w:pStyle w:val="ListBullet"/>
        <w:spacing w:after="60" w:line="269" w:lineRule="auto"/>
      </w:pPr>
      <w:r>
        <w:rPr>
          <w:rFonts w:ascii="Arial" w:hAnsi="Arial"/>
          <w:b/>
          <w:sz w:val="19"/>
        </w:rPr>
        <w:t xml:space="preserve">Production Cleanliness: </w:t>
      </w:r>
      <w:r>
        <w:rPr>
          <w:rFonts w:ascii="Arial" w:hAnsi="Arial"/>
          <w:color w:val="0F172A"/>
          <w:sz w:val="19"/>
        </w:rPr>
        <w:t>Clean git repository with zero emojis across code, markup, documentation, and configuration files.</w:t>
      </w:r>
    </w:p>
    <w:p>
      <w:pPr>
        <w:keepNext/>
        <w:spacing w:before="320" w:after="120"/>
      </w:pPr>
      <w:r>
        <w:rPr>
          <w:rFonts w:ascii="Arial" w:hAnsi="Arial"/>
          <w:b/>
          <w:color w:val="006A4E"/>
          <w:sz w:val="27"/>
        </w:rPr>
        <w:t>6. Limitations &amp; Future Roadmap</w:t>
      </w:r>
    </w:p>
    <w:p>
      <w:pPr>
        <w:pStyle w:val="ListBullet"/>
        <w:spacing w:after="60" w:line="269" w:lineRule="auto"/>
      </w:pPr>
      <w:r>
        <w:rPr>
          <w:rFonts w:ascii="Arial" w:hAnsi="Arial"/>
          <w:b/>
          <w:sz w:val="19"/>
        </w:rPr>
        <w:t xml:space="preserve">Read-Only Guidance: </w:t>
      </w:r>
      <w:r>
        <w:rPr>
          <w:rFonts w:ascii="Arial" w:hAnsi="Arial"/>
          <w:color w:val="0F172A"/>
          <w:sz w:val="19"/>
        </w:rPr>
        <w:t>The assistant serves an advisory role and does not submit financial transactions or alter official database records.</w:t>
      </w:r>
    </w:p>
    <w:p>
      <w:pPr>
        <w:pStyle w:val="ListBullet"/>
        <w:spacing w:after="60" w:line="269" w:lineRule="auto"/>
      </w:pPr>
      <w:r>
        <w:rPr>
          <w:rFonts w:ascii="Arial" w:hAnsi="Arial"/>
          <w:b/>
          <w:sz w:val="19"/>
        </w:rPr>
        <w:t xml:space="preserve">Gazette Currency: </w:t>
      </w:r>
      <w:r>
        <w:rPr>
          <w:rFonts w:ascii="Arial" w:hAnsi="Arial"/>
          <w:color w:val="0F172A"/>
          <w:sz w:val="19"/>
        </w:rPr>
        <w:t>Statutory fee schedules change periodically via annual gazette notifications; scheduled web-scraping jobs should be configured for automated index refreshes.</w:t>
      </w:r>
    </w:p>
    <w:p>
      <w:pPr>
        <w:pStyle w:val="ListBullet"/>
        <w:spacing w:after="60" w:line="269" w:lineRule="auto"/>
      </w:pPr>
      <w:r>
        <w:rPr>
          <w:rFonts w:ascii="Arial" w:hAnsi="Arial"/>
          <w:b/>
          <w:sz w:val="19"/>
        </w:rPr>
        <w:t xml:space="preserve">Roadmap: </w:t>
      </w:r>
      <w:r>
        <w:rPr>
          <w:rFonts w:ascii="Arial" w:hAnsi="Arial"/>
          <w:color w:val="0F172A"/>
          <w:sz w:val="19"/>
        </w:rPr>
        <w:t>Future enhancements include automated Optical Character Recognition (OCR) for scanned municipal circulars and multilingual speech-to-text integration for illiterate citizens.</w:t>
      </w:r>
    </w:p>
    <w:p>
      <w:pPr>
        <w:keepNext/>
        <w:spacing w:before="320" w:after="120"/>
      </w:pPr>
      <w:r>
        <w:rPr>
          <w:rFonts w:ascii="Arial" w:hAnsi="Arial"/>
          <w:b/>
          <w:color w:val="006A4E"/>
          <w:sz w:val="27"/>
        </w:rPr>
        <w:t>7. Conclusion</w:t>
      </w:r>
    </w:p>
    <w:p>
      <w:pPr>
        <w:spacing w:after="120" w:line="276" w:lineRule="auto"/>
      </w:pPr>
      <w:r>
        <w:rPr>
          <w:rFonts w:ascii="Arial" w:hAnsi="Arial"/>
          <w:color w:val="0F172A"/>
          <w:sz w:val="20"/>
        </w:rPr>
        <w:t>The Bilingual Citizen Services AI Assistant successfully resolves the twin challenges of public procedural fragmentation and generative AI hallucinations. By unifying dense multilingual retrieval, sparse keyword indexing (BM25), an agentic LangGraph state machine, and a responsive frontend with interactive citation pill navigation, the system delivers grounded, verifiable guidance in under 7 seconds. The completed deliverables satisfy all requirements for capstone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