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Méthodologie d'enrichissement</w:t>
      </w:r>
    </w:p>
    <w:p>
      <w:pPr>
        <w:spacing w:after="40" w:before="0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Base de données Airtable — 115 marques mode &amp; luxe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Version 1.0  •  Avril 2026  •  EugeniaSchool Hackathon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1. Contexte et objectifs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 document décrit la méthodologie complète utilisée pour enrichir une base de données de 115 marques de mode et de luxe destinée à être importée dans Airtable. Le projet visait à renseigner 11 champs structurés par marque à partir de sources publiques, sans accès à des bases de données propriétaires payantes.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1.1 Périmètre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Dataset d'entrée : fichier CSV de 115 marques comportant deux colonnes — Brand Name et brandUrl.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Champs cibles à enrichir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Name — nom officiel de la marque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category — catégorie produit principale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creation_date — année de fondation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adresse_siege_social — adresse complète du siège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rating — note publique (Trustpilot / Google Reviews)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type_entreprise — forme juridique et structure actionnariale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nb_employees — effectifs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nb_clients — nombre de clients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nb_societies — nombre d'entités juridiques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nb_societies_international — présence internationale (boutiques, wholesale, pays)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sales — chiffre d'affaires annuel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1.2 Profil du dataset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115 marques couvrent principalement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Géographie : ~70 % USA (NYC, LA), ~10 % UK, ~8 % Italie/France/Espagne, ~12 % autres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Catégories : womenswear (45 %), bijouterie fine (22 %), swimwear/resort (8 %), chaussures/accessoires (10 %), autres (15 %)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Profil : majorité de maisons indépendantes de créateurs privées, fondées entre 1999 et 2022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2. Sources de données utilisées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 recherche a été conduite en combinant des sources primaires et secondaires, classées ici par niveau de priorité.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2.1 Sources primaires (niveau 1 — priorité maximale)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d'information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Fiabilité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Site officiel de la marque (About, Contact, Stores)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HQ, catégorie, fondation, boutiques, philosophie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Très haute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LinkedIn (page entreprise)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Effectifs (fourchette), localisation, type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Companies House (UK)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Forme juridique, date d'enregistrement, comptes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Très haute (officielle)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Registres US (Delaware, NYC)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 LLC/Inc., entités filiales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Très haute (officielle)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Registres IT/FR/ES/AU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SA, SARL, Pty Ltd, S.r.l., SAS locaux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Très haute (officielle)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2.2 Sources secondaires (niveau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d'information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Fiabilité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Wikipedia (EN + FR + autres)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Historique, fondation, structure, chiffres clés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Bonne (vérifiée)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Business of Fashion (BoF)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Stratégie, croissance, CA cités en presse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Haute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WWD / Vogue / Harper's Bazaar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Profil marque, expansion internationale, CA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Bonne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Tracxn / Crunchbase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Levées, valorisation, effectifs, date de création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Moyenne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Pitchbook (données libres)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Effectifs, valorisation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Bonne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2.3 Sources d'estimation (niveau 3 — avec réserves)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Ces bases B2B produisent des estimations algorithmiques. Leurs données sont à croiser entre elles et avec les sources de niveau 1–2.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Champs estimés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Réserves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RocketReach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 annuel, effectifs, contacts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Sous-estimation fréquente du CA pour les privées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LeadIQ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CA, effectifs, croissance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Intervalles larges ($0–10M, $10–50M…)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Apollo.io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Effectifs, contacts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Données issues du scraping LinkedIn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ZoomInfo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CA, effectifs, technologies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Bonne couverture US ; Europe plus lacunaire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Kona Equity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CA, croissance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Méthode propriétaire non transparente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Owler / Craft.co / Buzzfile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CA, effectifs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Qualité variable, cross-check recommandé</w:t>
            </w:r>
          </w:p>
        </w:tc>
      </w:tr>
    </w:tbl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3. Processus de recherche par marque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Pour chaque marque, la séquence suivante a été suivie systématiquement 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3.1 Étape 1 — Identification et vérification du nom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Certaines URLs du CSV correspondent à des marques avec un nom différent ou à des sous-marques. Exemples identifiés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daniellefrankelstudio.com → BPE (Danielle Frankel Studio)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faithfullthebrand.com → El Sol (Faithfull the Brand)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ceciliebahnsen.com → Edition (Cecilie Bahnsen)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aguabyaguabendita.com → Mothers Day (Agua by Agua Bendita)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almasika.com → Berceau (Almasika)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aztechmountain.com → Ortovox (Aztech Mountain — mapping potentiellement erroné dans le CSV)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shayfurniture.com → Shay (probablement Shay Jewelry — URL à vérifier)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3.2 Étape 2 — Site officiel (crawl des pages clés)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Pages analysées systématiquement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Homepage → positionnement, catégorie produit, ton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About / Our Story → fondation, fondateurs, philosophie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Contact / Legal → adresse siège, pays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Stores / Stockists → présence internationale, boutiques en propre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3.3 Étape 3 — Recherche web multi-sources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Requêtes-types utilisées pour chaque marque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[Brand name] founded year headquarters employees revenue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[Brand name] LinkedIn company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[Brand name] Wikipedia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[Brand name] business of fashion BoF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[Brand name] type entreprise LLC Inc Ltd SARL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3.4 Étape 4 — Réconciliation et qualification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Lorsque plusieurs sources indiquaient des données contradictoires, la hiérarchie suivante a été appliquée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Sources officielles (registres nationaux, site marque) &gt; BoF/WWD &gt; Wikipedia &gt; bases B2B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 valeur retenue et la source sont systématiquement documentées dans la colonne sources.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4. Traitement champ par champ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category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 principale : homepage + about page de la marque.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Format adopté : catégorie produit principale + sous-catégories, matières ou spécificités distinctives.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Exemple : "Fine jewelry — sculptural, minimalist, recycled precious metals; rings, bracelets, earrings"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creation_date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 principale : about page officielle + Wikipedia + BoF.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Note : certaines marques ont plusieurs dates pertinentes (concept initial vs lancement commercial vs relance). La date de création officielle de l'entité juridique est privilégiée. Les ambiguïtés sont notées.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Exemple : Adam Lippes (ADAM+EVE 2004, marque actuelle 2013)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4.3 adresse_siege_social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 principale : footer/contact du site officiel + LinkedIn + registres nationaux.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Format : rue, ville, code postal, pays. Quand le HQ diffère du studio ou des boutiques, le siège administratif est retenu.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4.4 rating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Champ non renseigné (N/A pour toutes les marques) car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La quasi-totalité de ces maisons n'a pas de profil Trustpilot ou Google Reviews accessible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Il s'agit majoritairement de marques à distribution sélective / sur rendez-vous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rares profils existants ne sont pas représentatifs (très peu d'avis)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Recommandation : définir la source de rating souhaitée avant de lancer la recherche. Options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Trustpilot (disponible surtout pour les marques e-commerce à fort volume)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Google Reviews (boutiques physiques)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Glassdoor (rating employeur, si pertinent)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Scoring interne (notation qualitative de votre équipe)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4.5 type_entreprise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 principale : LinkedIn (champ 'Type') + registres nationaux.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Format : forme juridique locale + structure actionnariale (indépendant, groupe, investisseurs connus).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Exemples : "LLC — Private company, co-founded by X" / "Ltd — Companies House UK" / "S.r.l. — Private Italian company"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4.6 nb_employees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 principale : LinkedIn (fourchette officielle) + Apollo / LeadIQ / RocketReach.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Format : fourchette ou valeur ponctuelle avec source et date.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Caveats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LinkedIn affiche des fourchettes larges (2–10, 11–50, 51–200…) sauf pour les grandes marques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bases B2B donnent souvent des chiffres différents entre elles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effectifs varient selon les saisons (pics production)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4.7 nb_clients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Champ non renseigné (N/A) car aucune marque B2C de luxe ne publie ses données de clientèle. Ce champ est intrinsèquement non public pour ces acteurs.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Alternative possible : proxy via nb d'abonnés Instagram / newsletter si une définition relative est acceptable.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4.8 nb_societies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 principale : registres nationaux (Companies House UK, OpenCorporates, INPI France, Registro Imprese Italie).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Format : entité principale + filiales et entités parallèles identifiées.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4.9 nb_societies_international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 principale : page Stores/Stockists du site officiel + BoF + Wikipedia.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Format : liste des boutiques propres, grandes enseignes wholesale partenaires, nombre de pays/comptes.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4.10 sales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Source principale selon disponibilité :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 publié : disclosure dans presse (BoF, WWD, Gemfields pour Fabergé, The Cut pour The Row)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 estimé : RocketReach / LeadIQ / Kona Equity (algorithmes B2B)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Non disponible : micro-marques privées sans disclosure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Attention : les estimations B2B pour les marques privées peuvent varier d'un facteur 5 à 10 entre sources. La valeur retenue est accompagnée de la mention 'est.' et de la source.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Exemple Ulla Johnson : $7.8M (RocketReach) vs $50–100M (LeadIQ) — écart lié aux méthodes d'estimation distinctes.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5. Bilan de faisabilité par champ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8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Faisabilité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Taux de couverture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Name, brandUrl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Très haute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100 %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Donnée d'entrée du CSV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Très haute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100 %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Site officiel + about page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creation_date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~95 %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Quelques marques très discrètes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adresse_siege_social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~92 %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Certaines micro-marques masquent l'adresse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type_entreprise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~90 %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LinkedIn + registres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nb_employees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Moyenne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~85 %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Fourchettes larges; micro-marques à 1–5 ETP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nb_societies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Moyenne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~70 %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Structures simples pour la majorité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nb_societies_international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Moyenne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~80 %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Boutiques + wholesale bien documentés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sales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Faible/Variable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~60 % (est.)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Réel publié pour ~8 marques seulement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Champ à redéfinir (source à préciser)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nb_clients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 public pour les B2C luxe</w:t>
            </w:r>
          </w:p>
        </w:tc>
      </w:tr>
    </w:tbl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6. Fichiers livrés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brands_enriched_5_demo.xlsx / .csv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marques (démo qualité max)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Validation de la méthodologie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brands_enriched_110_batch.xlsx / .csv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110 marques restantes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Import Airtable — batch principal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Structure des fichiers XLSX : deux onglets.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Onglet 1 — Brands Enriched : données par marque (13 colonnes)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Onglet 2 — Summary / Methodology : statistiques et notes d'interprétation</w:t>
      </w:r>
    </w:p>
    <w:p>
      <w:pPr>
        <w:spacing w:after="8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Format CSV : encodage UTF-8, séparateur virgule, une ligne par marque — prêt pour import direct Airtable.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7. Limites et recommandations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Limites intrinsèques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marques privées ne sont pas tenues de publier leur CA ni leurs effectifs exacts — les estimations B2B doivent être considérées comme des ordres de grandeur.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Les données évoluent rapidement : effectifs, boutiques, propriétaires changent. Une mise à jour périodique (semestrielle) est recommandée.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3 URLs du CSV sont potentiellement mal mappées (Ortovox→Aztech Mountain, Shay→Shay Furniture, Berceau→Almasika) — à vérifier avec l'équipe.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7.2 Recommandations pour la suite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Définir la source du champ rating avant toute nouvelle recherche (Trustpilot ? Google ? score interne ?)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Pour nb_clients : envisager un proxy (ex. Instagram followers, volume d'avis produits, taille newsletter) si une métrique relative est acceptable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Pour les sales : intégrer un abonnement RocketReach Pro ou ZoomInfo pour des estimations plus fiables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Automatisation : un script Python (requests + BeautifulSoup + API LinkedIn/Crunchbase) permettrait de mettre à jour le dataset en continu pour les 115 marques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Fusion des deux fichiers CSV en un seul pour l'import Airtable (disponible sur demande)</w:t>
      </w:r>
    </w:p>
    <w:p>
      <w:pPr>
        <w:pBdr>
          <w:bottom w:val="single" w:color="D1D5DB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8. Glossaire des abréviations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Sigle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LLC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Limited Liability Company (USA) — société à responsabilité limitée américaine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Inc.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Incorporated (USA) — société de capitaux américaine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Ltd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Limited (UK/Australie) — société à responsabilité limitée britannique ou australienne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S.r.l.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Società a Responsabilità Limitata (Italie) — SARL italienne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S.A.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Société Anonyme (France/Grèce) ou Sociedad Anónima (Espagne)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SARL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Société À Responsabilité Limitée (France)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S.L.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Sociedad Limitada (Espagne) — équivalent SARL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SAS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Société par Actions Simplifiée (France) ou Société par Actions Simplifiée colombienne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Pty Ltd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Proprietary Limited (Australie) — société privée australienne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ApS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Anpartsselskab (Danemark) — équivalent SARL danois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AB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Aktiebolag (Suède) — société anonyme suédoise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K.K.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Kabushiki Kaisha (Japon) — société anonyme japonaise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DTC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Direct-To-Consumer — vente directe au consommateur (site propre)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BoF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Business of Fashion — principal média professionnel de l'industrie mode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est.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Estimé — chiffre issu d'une estimation, non publié officiellement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7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Non Available / Non Applicable — donnée non disponible publiquement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Document préparé dans le cadre du Hackathon EugeniaSchool — Use Case 2 — Enrichissement de marques Airtable — Avril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Document confidentiel — Généré le 20 avril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60" w:before="0"/>
    </w:pPr>
    <w:r>
      <w:rPr>
        <w:rFonts w:ascii="Arial" w:cs="Arial" w:eastAsia="Arial" w:hAnsi="Arial"/>
        <w:color w:val="6B7280"/>
        <w:sz w:val="18"/>
        <w:szCs w:val="18"/>
      </w:rPr>
      <w:t xml:space="preserve">Méthodologie d'enrichissement des marques — Airtable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2026-04-20T14:03:52.291Z</dcterms:created>
  <dcterms:modified xsi:type="dcterms:W3CDTF">2026-04-20T14:03:52.292Z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