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8"/>
        </w:rPr>
        <w:t>Food Classifier Project</w:t>
        <w:br/>
        <w:t>Developer Walkthrough &amp; Architecture</w:t>
      </w:r>
    </w:p>
    <w:p/>
    <w:p>
      <w:pPr>
        <w:pStyle w:val="Heading1"/>
        <w:jc w:val="left"/>
      </w:pPr>
      <w:r>
        <w:rPr>
          <w:color w:val="1F3864"/>
        </w:rPr>
        <w:t>1. Project Overview</w:t>
      </w:r>
    </w:p>
    <w:p>
      <w:r>
        <w:t>This document serves as a developer walkthrough for the newly reorganized Food Classifier project. The monolithic structure has been modularized into distinct directories for models, scripts, tools, and UI applications.</w:t>
      </w:r>
    </w:p>
    <w:p>
      <w:pPr>
        <w:pStyle w:val="Heading1"/>
        <w:jc w:val="left"/>
      </w:pPr>
      <w:r>
        <w:rPr>
          <w:color w:val="1F3864"/>
        </w:rPr>
        <w:t>2. Codebase Structure</w:t>
      </w:r>
    </w:p>
    <w:p>
      <w:r>
        <w:t>The root directory is clean and organized into logical components:</w:t>
      </w:r>
    </w:p>
    <w:p>
      <w:pPr>
        <w:pStyle w:val="ListBullet"/>
      </w:pPr>
      <w:r>
        <w:rPr>
          <w:b/>
        </w:rPr>
        <w:t xml:space="preserve">core/: </w:t>
      </w:r>
      <w:r>
        <w:t>Contains the main application logic and model definitions. Inside core/models/, you will find dedicated model files like mobilenet.py and efficientnet.py. The __init__.py acts as a factory that loads the requested model.</w:t>
      </w:r>
    </w:p>
    <w:p>
      <w:pPr>
        <w:pStyle w:val="ListBullet"/>
      </w:pPr>
      <w:r>
        <w:rPr>
          <w:b/>
        </w:rPr>
        <w:t xml:space="preserve">scripts/: </w:t>
      </w:r>
      <w:r>
        <w:t>Contains the active pipeline scripts used for model training and core evaluations (e.g., train.py, evaluate.py, yolo_seg_crop.py, predict.py).</w:t>
      </w:r>
    </w:p>
    <w:p>
      <w:pPr>
        <w:pStyle w:val="ListBullet"/>
      </w:pPr>
      <w:r>
        <w:rPr>
          <w:b/>
        </w:rPr>
        <w:t xml:space="preserve">tools/: </w:t>
      </w:r>
      <w:r>
        <w:t>Contains all diagnostic and reporting scripts (e.g., dataset_check.py, full_dataset_diagnostic.py). Use these to check dataset integrity.</w:t>
      </w:r>
    </w:p>
    <w:p>
      <w:pPr>
        <w:pStyle w:val="ListBullet"/>
      </w:pPr>
      <w:r>
        <w:rPr>
          <w:b/>
        </w:rPr>
        <w:t xml:space="preserve">app/: </w:t>
      </w:r>
      <w:r>
        <w:t>Contains your user interface scripts (ui.py, patch_ui.py) for running the interactive front-end.</w:t>
      </w:r>
    </w:p>
    <w:p>
      <w:pPr>
        <w:pStyle w:val="ListBullet"/>
      </w:pPr>
      <w:r>
        <w:rPr>
          <w:b/>
        </w:rPr>
        <w:t xml:space="preserve">docs/: </w:t>
      </w:r>
      <w:r>
        <w:t>Contains generated project reports (e.g., Project_Evolution_History.docx, Architecture_Comparison_Report.docx).</w:t>
      </w:r>
    </w:p>
    <w:p>
      <w:pPr>
        <w:pStyle w:val="Heading1"/>
        <w:jc w:val="left"/>
      </w:pPr>
      <w:r>
        <w:rPr>
          <w:color w:val="1F3864"/>
        </w:rPr>
        <w:t>3. Common Workflows &amp; Commands</w:t>
      </w:r>
    </w:p>
    <w:p>
      <w:pPr>
        <w:pStyle w:val="Heading2"/>
        <w:jc w:val="left"/>
      </w:pPr>
      <w:r>
        <w:rPr>
          <w:color w:val="1F3864"/>
        </w:rPr>
        <w:t>Setup &amp; Requirements</w:t>
      </w:r>
    </w:p>
    <w:p>
      <w:r>
        <w:t>Install all project dependencies:</w:t>
      </w:r>
    </w:p>
    <w:p>
      <w:r>
        <w:rPr>
          <w:rFonts w:ascii="Courier New" w:hAnsi="Courier New"/>
        </w:rPr>
        <w:t>pip install -r requirements.txt</w:t>
      </w:r>
    </w:p>
    <w:p>
      <w:pPr>
        <w:pStyle w:val="Heading2"/>
        <w:jc w:val="left"/>
      </w:pPr>
      <w:r>
        <w:rPr>
          <w:color w:val="1F3864"/>
        </w:rPr>
        <w:t>Validating the Dataset</w:t>
      </w:r>
    </w:p>
    <w:p>
      <w:r>
        <w:t>Before training, always ensure the dataset is clean and valid. This generates a dataset_report.json:</w:t>
      </w:r>
    </w:p>
    <w:p>
      <w:r>
        <w:rPr>
          <w:rFonts w:ascii="Courier New" w:hAnsi="Courier New"/>
        </w:rPr>
        <w:t>python tools/dataset_check.py --dataset /path/to/dataset</w:t>
      </w:r>
    </w:p>
    <w:p>
      <w:pPr>
        <w:pStyle w:val="Heading2"/>
        <w:jc w:val="left"/>
      </w:pPr>
      <w:r>
        <w:rPr>
          <w:color w:val="1F3864"/>
        </w:rPr>
        <w:t>Training the Model</w:t>
      </w:r>
    </w:p>
    <w:p>
      <w:r>
        <w:t>Run the main training pipeline. By default, it will load the model from core.models based on your arguments. Training results are saved to results/ and checkpoints/:</w:t>
      </w:r>
    </w:p>
    <w:p>
      <w:r>
        <w:rPr>
          <w:rFonts w:ascii="Courier New" w:hAnsi="Courier New"/>
        </w:rPr>
        <w:t>python scripts/train.py --dataset /path/to/dataset</w:t>
      </w:r>
    </w:p>
    <w:p>
      <w:pPr>
        <w:pStyle w:val="Heading2"/>
        <w:jc w:val="left"/>
      </w:pPr>
      <w:r>
        <w:rPr>
          <w:color w:val="1F3864"/>
        </w:rPr>
        <w:t>Evaluating the Model</w:t>
      </w:r>
    </w:p>
    <w:p>
      <w:r>
        <w:t>After training, evaluate the model on the test split. This generates classification reports and a confusion matrix:</w:t>
      </w:r>
    </w:p>
    <w:p>
      <w:r>
        <w:rPr>
          <w:rFonts w:ascii="Courier New" w:hAnsi="Courier New"/>
        </w:rPr>
        <w:t>python scripts/evaluate.py --dataset /path/to/dataset</w:t>
      </w:r>
    </w:p>
    <w:p>
      <w:pPr>
        <w:pStyle w:val="Heading2"/>
        <w:jc w:val="left"/>
      </w:pPr>
      <w:r>
        <w:rPr>
          <w:color w:val="1F3864"/>
        </w:rPr>
        <w:t>Running the UI Application</w:t>
      </w:r>
    </w:p>
    <w:p>
      <w:r>
        <w:t>To start the graphical user interface for live predictions:</w:t>
      </w:r>
    </w:p>
    <w:p>
      <w:r>
        <w:rPr>
          <w:rFonts w:ascii="Courier New" w:hAnsi="Courier New"/>
        </w:rPr>
        <w:t>python app/ui.py</w:t>
      </w:r>
    </w:p>
    <w:p>
      <w:pPr>
        <w:pStyle w:val="Heading1"/>
        <w:jc w:val="left"/>
      </w:pPr>
      <w:r>
        <w:rPr>
          <w:color w:val="1F3864"/>
        </w:rPr>
        <w:t>4. Current Model Performance (MobileNetV3 + YOLO Seg)</w:t>
      </w:r>
    </w:p>
    <w:p>
      <w:r>
        <w:t>The current primary architecture leverages a MobileNetV3-Large backbone with YOLO segmentation as a preprocessing step. Below are the key visualizations outlining the model's robustness.</w:t>
      </w:r>
    </w:p>
    <w:p>
      <w:pPr>
        <w:pStyle w:val="Heading2"/>
        <w:jc w:val="left"/>
      </w:pPr>
      <w:r>
        <w:rPr>
          <w:color w:val="1F3864"/>
        </w:rPr>
        <w:t>Training Convergence</w:t>
      </w:r>
    </w:p>
    <w:p>
      <w:r>
        <w:t>The training and validation curves demonstrating convergence over the epochs:</w:t>
      </w:r>
    </w:p>
    <w:p>
      <w:r>
        <w:drawing>
          <wp:inline xmlns:a="http://schemas.openxmlformats.org/drawingml/2006/main" xmlns:pic="http://schemas.openxmlformats.org/drawingml/2006/picture">
            <wp:extent cx="54864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jc w:val="left"/>
      </w:pPr>
      <w:r>
        <w:rPr>
          <w:color w:val="1F3864"/>
        </w:rPr>
        <w:t>Standard Validation Results</w:t>
      </w:r>
    </w:p>
    <w:p>
      <w:r>
        <w:t>Confusion matrix for the standard validation set, distinguishing between purely 'Veg' and 'Non-Veg' categories:</w:t>
      </w:r>
    </w:p>
    <w:p>
      <w:r>
        <w:drawing>
          <wp:inline xmlns:a="http://schemas.openxmlformats.org/drawingml/2006/main" xmlns:pic="http://schemas.openxmlformats.org/drawingml/2006/picture">
            <wp:extent cx="5029200" cy="4191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jc w:val="left"/>
      </w:pPr>
      <w:r>
        <w:rPr>
          <w:color w:val="1F3864"/>
        </w:rPr>
        <w:t>Real-World Restaurant Testing</w:t>
      </w:r>
    </w:p>
    <w:p>
      <w:r>
        <w:t>Testing against highly ambiguous out-of-distribution real-world restaurant images (e.g., hidden meat under rice in Mandi, mixed ingredient stews).</w:t>
      </w:r>
    </w:p>
    <w:p>
      <w:r>
        <w:drawing>
          <wp:inline xmlns:a="http://schemas.openxmlformats.org/drawingml/2006/main" xmlns:pic="http://schemas.openxmlformats.org/drawingml/2006/picture">
            <wp:extent cx="4572000" cy="457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_accuracy_pi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Per-Dish breakdown of the restaurant test:</w:t>
      </w:r>
    </w:p>
    <w:p>
      <w:r>
        <w:drawing>
          <wp:inline xmlns:a="http://schemas.openxmlformats.org/drawingml/2006/main" xmlns:pic="http://schemas.openxmlformats.org/drawingml/2006/picture">
            <wp:extent cx="5486400" cy="23513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_dish_accurac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131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