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AUTO95CLEAN – Conception Base de Données v1.2</w:t>
      </w:r>
    </w:p>
    <w:p>
      <w:r>
        <w:t>Document mis à jour avec les règles tarifaires, parrainage, fidélité et rendez-vous.</w:t>
        <w:br/>
      </w:r>
    </w:p>
    <w:p>
      <w:pPr>
        <w:pStyle w:val="Heading2"/>
      </w:pPr>
      <w:r>
        <w:t>Tarif</w:t>
      </w:r>
    </w:p>
    <w:p>
      <w:r>
        <w:t>Tarif = matrice Formule × Type de véhicule.</w:t>
        <w:br/>
        <w:t>UNIQUE(id_formule, id_type_vehicule)</w:t>
      </w:r>
    </w:p>
    <w:p>
      <w:pPr>
        <w:pStyle w:val="Heading2"/>
      </w:pPr>
      <w:r>
        <w:t>Rendez-vous</w:t>
      </w:r>
    </w:p>
    <w:p>
      <w:r>
        <w:t>Contient prix_total figé, id_formule, id_type_vehicule, id_vehicule (nullable).</w:t>
      </w:r>
    </w:p>
    <w:p>
      <w:pPr>
        <w:pStyle w:val="Heading2"/>
      </w:pPr>
      <w:r>
        <w:t>Parrainage</w:t>
      </w:r>
    </w:p>
    <w:p>
      <w:r>
        <w:t>UNIQUE(id_parrain, id_parraine)</w:t>
        <w:br/>
        <w:t>UNIQUE(id_parraine)</w:t>
      </w:r>
    </w:p>
    <w:p>
      <w:pPr>
        <w:pStyle w:val="Heading2"/>
      </w:pPr>
      <w:r>
        <w:t>Fidélité</w:t>
      </w:r>
    </w:p>
    <w:p>
      <w:r>
        <w:t>Points crédités après prestation. Validité 1 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