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10-Minute Stakeholder Demonstration Script</w:t>
      </w:r>
    </w:p>
    <w:p>
      <w:pPr>
        <w:jc w:val="center"/>
      </w:pPr>
      <w:r>
        <w:t>Uzma Real Estate Voice Agent</w:t>
      </w:r>
    </w:p>
    <w:p>
      <w:pPr>
        <w:pStyle w:val="Heading1"/>
      </w:pPr>
      <w:r>
        <w:t>Purpose</w:t>
      </w:r>
    </w:p>
    <w:p>
      <w:r>
        <w:t>Demonstrate a realistic customer journey through Uzma’s browser-based voice interface: speak an Urdu property request, review a data-backed recommendation, ask a follow-up question, and create, reschedule, then cancel a property visit. Show the Calendar and employee email records as workflow evidence.</w:t>
      </w:r>
    </w:p>
    <w:p>
      <w:r>
        <w:t>The live demonstration uses the browser microphone as an incoming-call simulation. It is not a public telephone-line demonstration. Use a dedicated test Calendar, a demo caller identity, and a verified free future time slot.</w:t>
      </w:r>
    </w:p>
    <w:p>
      <w:pPr>
        <w:pStyle w:val="Heading1"/>
      </w:pPr>
      <w:r>
        <w:t>Before the demonstration</w:t>
      </w:r>
    </w:p>
    <w:p>
      <w:pPr>
        <w:pStyle w:val="ListBullet"/>
      </w:pPr>
      <w:r>
        <w:t>Open the local frontend and confirm that the FastAPI backend reports healthy.</w:t>
      </w:r>
    </w:p>
    <w:p>
      <w:pPr>
        <w:pStyle w:val="ListBullet"/>
      </w:pPr>
      <w:r>
        <w:t>Check that microphone permission, speech transcription, the language model, and voice playback are working. If using voice is unreliable, switch to typed Urdu for the same customer journey and state the change.</w:t>
      </w:r>
    </w:p>
    <w:p>
      <w:pPr>
        <w:pStyle w:val="ListBullet"/>
      </w:pPr>
      <w:r>
        <w:t>Open the test Google Calendar, the employee inbox, and the n8n workflow execution view in separate tabs.</w:t>
      </w:r>
    </w:p>
    <w:p>
      <w:pPr>
        <w:pStyle w:val="ListBullet"/>
      </w:pPr>
      <w:r>
        <w:t>Check that the chosen future visit slot is free. Prepare a second free slot for the reschedule step.</w:t>
      </w:r>
    </w:p>
    <w:p>
      <w:pPr>
        <w:pStyle w:val="ListBullet"/>
      </w:pPr>
      <w:r>
        <w:t>Use a demo name and test phone number. Do not use a real customer’s details.</w:t>
      </w:r>
    </w:p>
    <w:p>
      <w:pPr>
        <w:pStyle w:val="ListBullet"/>
      </w:pPr>
      <w:r>
        <w:t>After each action, verify the saved result in Calendar and email. Tell the audience an action succeeded only after the record is visible.</w:t>
      </w:r>
    </w:p>
    <w:p>
      <w:pPr>
        <w:pStyle w:val="Heading1"/>
      </w:pPr>
      <w:r>
        <w:t>Timed run of show</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pPr>
              <w:spacing w:after="40" w:line="240" w:lineRule="auto"/>
            </w:pPr>
            <w:r>
              <w:rPr>
                <w:rFonts w:ascii="Times New Roman" w:hAnsi="Times New Roman" w:eastAsia="Times New Roman"/>
                <w:b/>
                <w:color w:val="000000"/>
                <w:sz w:val="24"/>
              </w:rPr>
              <w:t>Time and segment</w:t>
            </w:r>
          </w:p>
        </w:tc>
        <w:tc>
          <w:tcPr>
            <w:tcW w:type="dxa" w:w="3312"/>
            <w:vAlign w:val="center"/>
          </w:tcPr>
          <w:p>
            <w:pPr>
              <w:spacing w:after="40" w:line="240" w:lineRule="auto"/>
            </w:pPr>
            <w:r>
              <w:rPr>
                <w:rFonts w:ascii="Times New Roman" w:hAnsi="Times New Roman" w:eastAsia="Times New Roman"/>
                <w:b/>
                <w:color w:val="000000"/>
                <w:sz w:val="24"/>
              </w:rPr>
              <w:t>Presenter action / sample line</w:t>
            </w:r>
          </w:p>
        </w:tc>
        <w:tc>
          <w:tcPr>
            <w:tcW w:type="dxa" w:w="3312"/>
            <w:vAlign w:val="center"/>
          </w:tcPr>
          <w:p>
            <w:pPr>
              <w:spacing w:after="40" w:line="240" w:lineRule="auto"/>
            </w:pPr>
            <w:r>
              <w:rPr>
                <w:rFonts w:ascii="Times New Roman" w:hAnsi="Times New Roman" w:eastAsia="Times New Roman"/>
                <w:b/>
                <w:color w:val="000000"/>
                <w:sz w:val="24"/>
              </w:rPr>
              <w:t>Evidence to show</w:t>
            </w:r>
          </w:p>
        </w:tc>
      </w:tr>
      <w:tr>
        <w:trPr>
          <w:cantSplit/>
        </w:trPr>
        <w:tc>
          <w:tcPr>
            <w:tcW w:type="dxa" w:w="3312"/>
            <w:vAlign w:val="center"/>
          </w:tcPr>
          <w:p>
            <w:pPr>
              <w:spacing w:after="40" w:line="240" w:lineRule="auto"/>
            </w:pPr>
            <w:r>
              <w:rPr>
                <w:rFonts w:ascii="Times New Roman" w:hAnsi="Times New Roman" w:eastAsia="Times New Roman"/>
                <w:color w:val="000000"/>
                <w:sz w:val="24"/>
              </w:rPr>
              <w:t>0:00–0:45 | Welcome</w:t>
            </w:r>
          </w:p>
        </w:tc>
        <w:tc>
          <w:tcPr>
            <w:tcW w:type="dxa" w:w="3312"/>
            <w:vAlign w:val="center"/>
          </w:tcPr>
          <w:p>
            <w:pPr>
              <w:spacing w:after="40" w:line="240" w:lineRule="auto"/>
            </w:pPr>
            <w:r>
              <w:rPr>
                <w:rFonts w:ascii="Times New Roman" w:hAnsi="Times New Roman" w:eastAsia="Times New Roman"/>
                <w:color w:val="000000"/>
                <w:sz w:val="24"/>
              </w:rPr>
              <w:t>Introduce Uzma as a real-estate voice assistant for buyer, renter, and investor inquiries. Explain that this demonstration uses the web microphone to simulate an incoming call.</w:t>
            </w:r>
          </w:p>
        </w:tc>
        <w:tc>
          <w:tcPr>
            <w:tcW w:type="dxa" w:w="3312"/>
            <w:vAlign w:val="center"/>
          </w:tcPr>
          <w:p>
            <w:pPr>
              <w:spacing w:after="40" w:line="240" w:lineRule="auto"/>
            </w:pPr>
            <w:r>
              <w:rPr>
                <w:rFonts w:ascii="Times New Roman" w:hAnsi="Times New Roman" w:eastAsia="Times New Roman"/>
                <w:color w:val="000000"/>
                <w:sz w:val="24"/>
              </w:rPr>
              <w:t>Show the live interface and microphone control.</w:t>
            </w:r>
          </w:p>
        </w:tc>
      </w:tr>
      <w:tr>
        <w:trPr>
          <w:cantSplit/>
        </w:trPr>
        <w:tc>
          <w:tcPr>
            <w:tcW w:type="dxa" w:w="3312"/>
            <w:vAlign w:val="center"/>
          </w:tcPr>
          <w:p>
            <w:pPr>
              <w:spacing w:after="40" w:line="240" w:lineRule="auto"/>
            </w:pPr>
            <w:r>
              <w:rPr>
                <w:rFonts w:ascii="Times New Roman" w:hAnsi="Times New Roman" w:eastAsia="Times New Roman"/>
                <w:color w:val="000000"/>
                <w:sz w:val="24"/>
              </w:rPr>
              <w:t>0:45–2:00 | Live voice inquiry</w:t>
            </w:r>
          </w:p>
        </w:tc>
        <w:tc>
          <w:tcPr>
            <w:tcW w:type="dxa" w:w="3312"/>
            <w:vAlign w:val="center"/>
          </w:tcPr>
          <w:p>
            <w:pPr>
              <w:spacing w:after="40" w:line="240" w:lineRule="auto"/>
            </w:pPr>
            <w:r>
              <w:rPr>
                <w:rFonts w:ascii="Times New Roman" w:hAnsi="Times New Roman" w:eastAsia="Times New Roman"/>
                <w:color w:val="000000"/>
                <w:sz w:val="24"/>
              </w:rPr>
              <w:t>Say: “السلام علیکم، مجھے اسلام آباد میں ایک کنال کا گھر خریدنا ہے۔ میرا بجٹ سولہ کروڑ روپے تک ہے۔” Let the assistant transcribe and answer.</w:t>
            </w:r>
          </w:p>
        </w:tc>
        <w:tc>
          <w:tcPr>
            <w:tcW w:type="dxa" w:w="3312"/>
            <w:vAlign w:val="center"/>
          </w:tcPr>
          <w:p>
            <w:pPr>
              <w:spacing w:after="40" w:line="240" w:lineRule="auto"/>
            </w:pPr>
            <w:r>
              <w:rPr>
                <w:rFonts w:ascii="Times New Roman" w:hAnsi="Times New Roman" w:eastAsia="Times New Roman"/>
                <w:color w:val="000000"/>
                <w:sz w:val="24"/>
              </w:rPr>
              <w:t>Show the spoken request, transcript, and spoken/text response. If transcription is inaccurate, repeat once or use typed Urdu.</w:t>
            </w:r>
          </w:p>
        </w:tc>
      </w:tr>
      <w:tr>
        <w:trPr>
          <w:cantSplit/>
        </w:trPr>
        <w:tc>
          <w:tcPr>
            <w:tcW w:type="dxa" w:w="3312"/>
            <w:vAlign w:val="center"/>
          </w:tcPr>
          <w:p>
            <w:pPr>
              <w:spacing w:after="40" w:line="240" w:lineRule="auto"/>
            </w:pPr>
            <w:r>
              <w:rPr>
                <w:rFonts w:ascii="Times New Roman" w:hAnsi="Times New Roman" w:eastAsia="Times New Roman"/>
                <w:color w:val="000000"/>
                <w:sz w:val="24"/>
              </w:rPr>
              <w:t>2:00–3:20 | Property recommendation</w:t>
            </w:r>
          </w:p>
        </w:tc>
        <w:tc>
          <w:tcPr>
            <w:tcW w:type="dxa" w:w="3312"/>
            <w:vAlign w:val="center"/>
          </w:tcPr>
          <w:p>
            <w:pPr>
              <w:spacing w:after="40" w:line="240" w:lineRule="auto"/>
            </w:pPr>
            <w:r>
              <w:rPr>
                <w:rFonts w:ascii="Times New Roman" w:hAnsi="Times New Roman" w:eastAsia="Times New Roman"/>
                <w:color w:val="000000"/>
                <w:sz w:val="24"/>
              </w:rPr>
              <w:t>Review the actual matching record. Example dataset record: “Fully Furnished 1 Kanal Spanish Style House For Sale In DHA Phase 2,” PKR 150,000,000 (15 crore), 5 bedrooms. Ask: “اس گھر کی قیمت میرے بجٹ کے مقابلے میں کتنی ہے، اور یہ کہاں واقع ہے؟”</w:t>
            </w:r>
          </w:p>
        </w:tc>
        <w:tc>
          <w:tcPr>
            <w:tcW w:type="dxa" w:w="3312"/>
            <w:vAlign w:val="center"/>
          </w:tcPr>
          <w:p>
            <w:pPr>
              <w:spacing w:after="40" w:line="240" w:lineRule="auto"/>
            </w:pPr>
            <w:r>
              <w:rPr>
                <w:rFonts w:ascii="Times New Roman" w:hAnsi="Times New Roman" w:eastAsia="Times New Roman"/>
                <w:color w:val="000000"/>
                <w:sz w:val="24"/>
              </w:rPr>
              <w:t>Show the CSV-backed listing details and explain why it is within the stated budget. Do not imply live MLS availability; the listing comes from the project dataset.</w:t>
            </w:r>
          </w:p>
        </w:tc>
      </w:tr>
      <w:tr>
        <w:trPr>
          <w:cantSplit/>
        </w:trPr>
        <w:tc>
          <w:tcPr>
            <w:tcW w:type="dxa" w:w="3312"/>
            <w:vAlign w:val="center"/>
          </w:tcPr>
          <w:p>
            <w:pPr>
              <w:spacing w:after="40" w:line="240" w:lineRule="auto"/>
            </w:pPr>
            <w:r>
              <w:rPr>
                <w:rFonts w:ascii="Times New Roman" w:hAnsi="Times New Roman" w:eastAsia="Times New Roman"/>
                <w:color w:val="000000"/>
                <w:sz w:val="24"/>
              </w:rPr>
              <w:t>3:20–4:10 | Context and objection</w:t>
            </w:r>
          </w:p>
        </w:tc>
        <w:tc>
          <w:tcPr>
            <w:tcW w:type="dxa" w:w="3312"/>
            <w:vAlign w:val="center"/>
          </w:tcPr>
          <w:p>
            <w:pPr>
              <w:spacing w:after="40" w:line="240" w:lineRule="auto"/>
            </w:pPr>
            <w:r>
              <w:rPr>
                <w:rFonts w:ascii="Times New Roman" w:hAnsi="Times New Roman" w:eastAsia="Times New Roman"/>
                <w:color w:val="000000"/>
                <w:sz w:val="24"/>
              </w:rPr>
              <w:t>Say: “پندرہ کروڑ تھوڑا زیادہ لگ رہا ہے۔ کیا میرے بجٹ کے اندر کوئی دوسرا ایک کنال کا گھر ہے؟” Review the assistant’s answer and ask it to clarify a trade-off such as area or bedrooms.</w:t>
            </w:r>
          </w:p>
        </w:tc>
        <w:tc>
          <w:tcPr>
            <w:tcW w:type="dxa" w:w="3312"/>
            <w:vAlign w:val="center"/>
          </w:tcPr>
          <w:p>
            <w:pPr>
              <w:spacing w:after="40" w:line="240" w:lineRule="auto"/>
            </w:pPr>
            <w:r>
              <w:rPr>
                <w:rFonts w:ascii="Times New Roman" w:hAnsi="Times New Roman" w:eastAsia="Times New Roman"/>
                <w:color w:val="000000"/>
                <w:sz w:val="24"/>
              </w:rPr>
              <w:t>Show whether the assistant retains Islamabad, purchase, one kanal, and the 16-crore ceiling. Do not accept a mismatched property as a match.</w:t>
            </w:r>
          </w:p>
        </w:tc>
      </w:tr>
      <w:tr>
        <w:trPr>
          <w:cantSplit/>
        </w:trPr>
        <w:tc>
          <w:tcPr>
            <w:tcW w:type="dxa" w:w="3312"/>
            <w:vAlign w:val="center"/>
          </w:tcPr>
          <w:p>
            <w:pPr>
              <w:spacing w:after="40" w:line="240" w:lineRule="auto"/>
            </w:pPr>
            <w:r>
              <w:rPr>
                <w:rFonts w:ascii="Times New Roman" w:hAnsi="Times New Roman" w:eastAsia="Times New Roman"/>
                <w:color w:val="000000"/>
                <w:sz w:val="24"/>
              </w:rPr>
              <w:t>4:10–5:45 | Book a visit</w:t>
            </w:r>
          </w:p>
        </w:tc>
        <w:tc>
          <w:tcPr>
            <w:tcW w:type="dxa" w:w="3312"/>
            <w:vAlign w:val="center"/>
          </w:tcPr>
          <w:p>
            <w:pPr>
              <w:spacing w:after="40" w:line="240" w:lineRule="auto"/>
            </w:pPr>
            <w:r>
              <w:rPr>
                <w:rFonts w:ascii="Times New Roman" w:hAnsi="Times New Roman" w:eastAsia="Times New Roman"/>
                <w:color w:val="000000"/>
                <w:sz w:val="24"/>
              </w:rPr>
              <w:t>Choose a free future slot verified in the test Calendar. Say: “میں اس پراپرٹی کا وزٹ [تاریخ] کو [وقت] پر کرنا چاہتا ہوں۔” Provide “Demo Ahmed” and the agreed test phone number when requested.</w:t>
            </w:r>
          </w:p>
        </w:tc>
        <w:tc>
          <w:tcPr>
            <w:tcW w:type="dxa" w:w="3312"/>
            <w:vAlign w:val="center"/>
          </w:tcPr>
          <w:p>
            <w:pPr>
              <w:spacing w:after="40" w:line="240" w:lineRule="auto"/>
            </w:pPr>
            <w:r>
              <w:rPr>
                <w:rFonts w:ascii="Times New Roman" w:hAnsi="Times New Roman" w:eastAsia="Times New Roman"/>
                <w:color w:val="000000"/>
                <w:sz w:val="24"/>
              </w:rPr>
              <w:t>Verify the event appears in the test Calendar and the employee notification arrives at mehro173@gmail.com. Confirm verbally only when the agent reports success and both records are present.</w:t>
            </w:r>
          </w:p>
        </w:tc>
      </w:tr>
      <w:tr>
        <w:trPr>
          <w:cantSplit/>
        </w:trPr>
        <w:tc>
          <w:tcPr>
            <w:tcW w:type="dxa" w:w="3312"/>
            <w:vAlign w:val="center"/>
          </w:tcPr>
          <w:p>
            <w:pPr>
              <w:spacing w:after="40" w:line="240" w:lineRule="auto"/>
            </w:pPr>
            <w:r>
              <w:rPr>
                <w:rFonts w:ascii="Times New Roman" w:hAnsi="Times New Roman" w:eastAsia="Times New Roman"/>
                <w:color w:val="000000"/>
                <w:sz w:val="24"/>
              </w:rPr>
              <w:t>5:45–7:20 | Reschedule</w:t>
            </w:r>
          </w:p>
        </w:tc>
        <w:tc>
          <w:tcPr>
            <w:tcW w:type="dxa" w:w="3312"/>
            <w:vAlign w:val="center"/>
          </w:tcPr>
          <w:p>
            <w:pPr>
              <w:spacing w:after="40" w:line="240" w:lineRule="auto"/>
            </w:pPr>
            <w:r>
              <w:rPr>
                <w:rFonts w:ascii="Times New Roman" w:hAnsi="Times New Roman" w:eastAsia="Times New Roman"/>
                <w:color w:val="000000"/>
                <w:sz w:val="24"/>
              </w:rPr>
              <w:t>Ask to move the same test appointment to the prechecked alternate free slot. Provide the demo phone number if the workflow asks for identification.</w:t>
            </w:r>
          </w:p>
        </w:tc>
        <w:tc>
          <w:tcPr>
            <w:tcW w:type="dxa" w:w="3312"/>
            <w:vAlign w:val="center"/>
          </w:tcPr>
          <w:p>
            <w:pPr>
              <w:spacing w:after="40" w:line="240" w:lineRule="auto"/>
            </w:pPr>
            <w:r>
              <w:rPr>
                <w:rFonts w:ascii="Times New Roman" w:hAnsi="Times New Roman" w:eastAsia="Times New Roman"/>
                <w:color w:val="000000"/>
                <w:sz w:val="24"/>
              </w:rPr>
              <w:t>Verify that the same event moves to the new time and that the updated employee email contains the new date/time.</w:t>
            </w:r>
          </w:p>
        </w:tc>
      </w:tr>
      <w:tr>
        <w:trPr>
          <w:cantSplit/>
        </w:trPr>
        <w:tc>
          <w:tcPr>
            <w:tcW w:type="dxa" w:w="3312"/>
            <w:vAlign w:val="center"/>
          </w:tcPr>
          <w:p>
            <w:pPr>
              <w:spacing w:after="40" w:line="240" w:lineRule="auto"/>
            </w:pPr>
            <w:r>
              <w:rPr>
                <w:rFonts w:ascii="Times New Roman" w:hAnsi="Times New Roman" w:eastAsia="Times New Roman"/>
                <w:color w:val="000000"/>
                <w:sz w:val="24"/>
              </w:rPr>
              <w:t>7:20–8:35 | Cancel</w:t>
            </w:r>
          </w:p>
        </w:tc>
        <w:tc>
          <w:tcPr>
            <w:tcW w:type="dxa" w:w="3312"/>
            <w:vAlign w:val="center"/>
          </w:tcPr>
          <w:p>
            <w:pPr>
              <w:spacing w:after="40" w:line="240" w:lineRule="auto"/>
            </w:pPr>
            <w:r>
              <w:rPr>
                <w:rFonts w:ascii="Times New Roman" w:hAnsi="Times New Roman" w:eastAsia="Times New Roman"/>
                <w:color w:val="000000"/>
                <w:sz w:val="24"/>
              </w:rPr>
              <w:t>Ask to cancel the test visit and provide the requested verification details.</w:t>
            </w:r>
          </w:p>
        </w:tc>
        <w:tc>
          <w:tcPr>
            <w:tcW w:type="dxa" w:w="3312"/>
            <w:vAlign w:val="center"/>
          </w:tcPr>
          <w:p>
            <w:pPr>
              <w:spacing w:after="40" w:line="240" w:lineRule="auto"/>
            </w:pPr>
            <w:r>
              <w:rPr>
                <w:rFonts w:ascii="Times New Roman" w:hAnsi="Times New Roman" w:eastAsia="Times New Roman"/>
                <w:color w:val="000000"/>
                <w:sz w:val="24"/>
              </w:rPr>
              <w:t>Verify the event is removed or cancelled according to the Calendar workflow and that the cancellation notice arrives.</w:t>
            </w:r>
          </w:p>
        </w:tc>
      </w:tr>
      <w:tr>
        <w:trPr>
          <w:cantSplit/>
        </w:trPr>
        <w:tc>
          <w:tcPr>
            <w:tcW w:type="dxa" w:w="3312"/>
            <w:vAlign w:val="center"/>
          </w:tcPr>
          <w:p>
            <w:pPr>
              <w:spacing w:after="40" w:line="240" w:lineRule="auto"/>
            </w:pPr>
            <w:r>
              <w:rPr>
                <w:rFonts w:ascii="Times New Roman" w:hAnsi="Times New Roman" w:eastAsia="Times New Roman"/>
                <w:color w:val="000000"/>
                <w:sz w:val="24"/>
              </w:rPr>
              <w:t>8:35–9:20 | Workflow and record</w:t>
            </w:r>
          </w:p>
        </w:tc>
        <w:tc>
          <w:tcPr>
            <w:tcW w:type="dxa" w:w="3312"/>
            <w:vAlign w:val="center"/>
          </w:tcPr>
          <w:p>
            <w:pPr>
              <w:spacing w:after="40" w:line="240" w:lineRule="auto"/>
            </w:pPr>
            <w:r>
              <w:rPr>
                <w:rFonts w:ascii="Times New Roman" w:hAnsi="Times New Roman" w:eastAsia="Times New Roman"/>
                <w:color w:val="000000"/>
                <w:sz w:val="24"/>
              </w:rPr>
              <w:t>Show the corresponding n8n execution and the appointment record/log, without exposing tokens or private caller information.</w:t>
            </w:r>
          </w:p>
        </w:tc>
        <w:tc>
          <w:tcPr>
            <w:tcW w:type="dxa" w:w="3312"/>
            <w:vAlign w:val="center"/>
          </w:tcPr>
          <w:p>
            <w:pPr>
              <w:spacing w:after="40" w:line="240" w:lineRule="auto"/>
            </w:pPr>
            <w:r>
              <w:rPr>
                <w:rFonts w:ascii="Times New Roman" w:hAnsi="Times New Roman" w:eastAsia="Times New Roman"/>
                <w:color w:val="000000"/>
                <w:sz w:val="24"/>
              </w:rPr>
              <w:t>Point out the workflow handoff, Calendar action, employee notification, and CRM-ready record.</w:t>
            </w:r>
          </w:p>
        </w:tc>
      </w:tr>
      <w:tr>
        <w:trPr>
          <w:cantSplit/>
        </w:trPr>
        <w:tc>
          <w:tcPr>
            <w:tcW w:type="dxa" w:w="3312"/>
            <w:vAlign w:val="center"/>
          </w:tcPr>
          <w:p>
            <w:pPr>
              <w:spacing w:after="40" w:line="240" w:lineRule="auto"/>
            </w:pPr>
            <w:r>
              <w:rPr>
                <w:rFonts w:ascii="Times New Roman" w:hAnsi="Times New Roman" w:eastAsia="Times New Roman"/>
                <w:color w:val="000000"/>
                <w:sz w:val="24"/>
              </w:rPr>
              <w:t>9:20–10:00 | Close</w:t>
            </w:r>
          </w:p>
        </w:tc>
        <w:tc>
          <w:tcPr>
            <w:tcW w:type="dxa" w:w="3312"/>
            <w:vAlign w:val="center"/>
          </w:tcPr>
          <w:p>
            <w:pPr>
              <w:spacing w:after="40" w:line="240" w:lineRule="auto"/>
            </w:pPr>
            <w:r>
              <w:rPr>
                <w:rFonts w:ascii="Times New Roman" w:hAnsi="Times New Roman" w:eastAsia="Times New Roman"/>
                <w:color w:val="000000"/>
                <w:sz w:val="24"/>
              </w:rPr>
              <w:t>Summarize the customer journey and invite questions. Mention that the demo used the property dataset and test integrations.</w:t>
            </w:r>
          </w:p>
        </w:tc>
        <w:tc>
          <w:tcPr>
            <w:tcW w:type="dxa" w:w="3312"/>
            <w:vAlign w:val="center"/>
          </w:tcPr>
          <w:p>
            <w:pPr>
              <w:spacing w:after="40" w:line="240" w:lineRule="auto"/>
            </w:pPr>
            <w:r>
              <w:rPr>
                <w:rFonts w:ascii="Times New Roman" w:hAnsi="Times New Roman" w:eastAsia="Times New Roman"/>
                <w:color w:val="000000"/>
                <w:sz w:val="24"/>
              </w:rPr>
              <w:t>Leave the audience with a clear view of what was verified live.</w:t>
            </w:r>
          </w:p>
        </w:tc>
      </w:tr>
    </w:tbl>
    <w:p>
      <w:pPr>
        <w:pStyle w:val="Heading1"/>
      </w:pPr>
      <w:r>
        <w:t>Recovery lines</w:t>
      </w:r>
    </w:p>
    <w:p>
      <w:pPr>
        <w:pStyle w:val="ListBullet"/>
      </w:pPr>
      <w:r>
        <w:t>Calendar conflict: “یہ وقت پہلے سے مصروف ہے۔ میں ایک دوسرا خالی وقت منتخب کرتا ہوں۔” Select the prepared alternate slot and verify it.</w:t>
      </w:r>
    </w:p>
    <w:p>
      <w:pPr>
        <w:pStyle w:val="ListBullet"/>
      </w:pPr>
      <w:r>
        <w:t>Agent says booking failed but Calendar/email shows a result: do not claim a successful confirmation. Pause and reconcile the agent response with the records before continuing.</w:t>
      </w:r>
    </w:p>
    <w:p>
      <w:pPr>
        <w:pStyle w:val="ListBullet"/>
      </w:pPr>
      <w:r>
        <w:t>No matching property: state that the current dataset did not return a match, adjust one customer preference only with their consent, and repeat the search.</w:t>
      </w:r>
    </w:p>
    <w:p>
      <w:pPr>
        <w:pStyle w:val="ListBullet"/>
      </w:pPr>
      <w:r>
        <w:t>Provider unavailable or response delayed: explain which step could not be demonstrated, continue with the next independently verifiable screen, and label it as a recorded example or planned live step—not as a live success.</w:t>
      </w:r>
    </w:p>
    <w:p>
      <w:pPr>
        <w:pStyle w:val="Heading1"/>
      </w:pPr>
      <w:r>
        <w:t>After the demonstration</w:t>
      </w:r>
    </w:p>
    <w:p>
      <w:r>
        <w:t>Confirm that the test visit is cancelled and no test event remains. Close or reset the demo conversation, and handle any retained test contact record according to the project’s retention practice. Keep credentials and personal customer data out of screenshots and presentation slides.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