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color w:val="000000"/>
          <w:sz w:val="24"/>
        </w:rPr>
        <w:t>Executive Report for Stakeholders</w:t>
      </w:r>
    </w:p>
    <w:p>
      <w:pPr>
        <w:pStyle w:val="Subtitle"/>
        <w:jc w:val="center"/>
      </w:pPr>
      <w:r>
        <w:rPr>
          <w:rFonts w:ascii="Times New Roman" w:hAnsi="Times New Roman" w:eastAsia="Times New Roman"/>
          <w:b w:val="0"/>
          <w:i w:val="0"/>
          <w:color w:val="000000"/>
          <w:sz w:val="24"/>
        </w:rPr>
        <w:t>Uzma Real Estate Voice Agent</w:t>
      </w:r>
    </w:p>
    <w:p>
      <w:r>
        <w:rPr>
          <w:rFonts w:ascii="Times New Roman" w:hAnsi="Times New Roman" w:eastAsia="Times New Roman"/>
          <w:b w:val="0"/>
          <w:i w:val="0"/>
          <w:color w:val="000000"/>
          <w:sz w:val="24"/>
        </w:rPr>
        <w:t>Uzma is a browser-based real-estate voice and text assistant designed to help a sales team handle buyer and renter inquiries consistently. The current product connects Urdu speech recognition, conversational AI, property and FAQ retrieval, appointment workflows, employee email, and local lead records. Evaluation evidence shows useful end-to-end capability, alongside several issues to resolve before wider commercial use, especially the booking confirmation mismatch, access controls, and reliable Urdu-script output.</w:t>
      </w:r>
    </w:p>
    <w:p>
      <w:pPr>
        <w:pStyle w:val="Heading1"/>
      </w:pPr>
      <w:r>
        <w:rPr>
          <w:rFonts w:ascii="Times New Roman" w:hAnsi="Times New Roman" w:eastAsia="Times New Roman"/>
          <w:b/>
          <w:i w:val="0"/>
          <w:color w:val="000000"/>
          <w:sz w:val="24"/>
        </w:rPr>
        <w:t>Objectives</w:t>
      </w:r>
    </w:p>
    <w:p>
      <w:r>
        <w:rPr>
          <w:rFonts w:ascii="Times New Roman" w:hAnsi="Times New Roman" w:eastAsia="Times New Roman"/>
          <w:b w:val="0"/>
          <w:i w:val="0"/>
          <w:color w:val="000000"/>
          <w:sz w:val="24"/>
        </w:rPr>
        <w:t>The project aims to capture a caller’s intent and property preferences, answer property questions from company knowledge, recommend suitable listings, continue a contextual sales conversation, schedule property visits, notify an assigned employee, and keep appointment and customer records. The current user experience is a Streamlit browser application with typed text and microphone audio.</w:t>
      </w:r>
    </w:p>
    <w:p>
      <w:pPr>
        <w:pStyle w:val="Heading1"/>
      </w:pPr>
      <w:r>
        <w:rPr>
          <w:rFonts w:ascii="Times New Roman" w:hAnsi="Times New Roman" w:eastAsia="Times New Roman"/>
          <w:b/>
          <w:i w:val="0"/>
          <w:color w:val="000000"/>
          <w:sz w:val="24"/>
        </w:rPr>
        <w:t>Architecture</w:t>
      </w:r>
    </w:p>
    <w:p>
      <w:r>
        <w:rPr>
          <w:rFonts w:ascii="Times New Roman" w:hAnsi="Times New Roman" w:eastAsia="Times New Roman"/>
          <w:b w:val="0"/>
          <w:i w:val="0"/>
          <w:color w:val="000000"/>
          <w:sz w:val="24"/>
        </w:rPr>
        <w:t>The user interface, API, conversation pipeline, retrieval components, and workflow integrations are packaged for local Docker Compose use.</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520"/>
            <w:vAlign w:val="center"/>
            <w:shd w:fill="EAEAEA"/>
          </w:tcPr>
          <w:p>
            <w:pPr>
              <w:spacing w:after="20"/>
            </w:pPr>
            <w:r/>
            <w:r>
              <w:rPr>
                <w:rFonts w:ascii="Times New Roman" w:hAnsi="Times New Roman" w:eastAsia="Times New Roman"/>
                <w:b/>
                <w:i w:val="0"/>
                <w:color w:val="000000"/>
                <w:sz w:val="24"/>
              </w:rPr>
              <w:t>Source</w:t>
            </w:r>
          </w:p>
        </w:tc>
        <w:tc>
          <w:tcPr>
            <w:tcW w:type="dxa" w:w="3096"/>
            <w:vAlign w:val="center"/>
            <w:shd w:fill="EAEAEA"/>
          </w:tcPr>
          <w:p>
            <w:pPr>
              <w:spacing w:after="20"/>
            </w:pPr>
            <w:r/>
            <w:r>
              <w:rPr>
                <w:rFonts w:ascii="Times New Roman" w:hAnsi="Times New Roman" w:eastAsia="Times New Roman"/>
                <w:b/>
                <w:i w:val="0"/>
                <w:color w:val="000000"/>
                <w:sz w:val="24"/>
              </w:rPr>
              <w:t>Flow</w:t>
            </w:r>
          </w:p>
        </w:tc>
        <w:tc>
          <w:tcPr>
            <w:tcW w:type="dxa" w:w="4176"/>
            <w:vAlign w:val="center"/>
            <w:shd w:fill="EAEAEA"/>
          </w:tcPr>
          <w:p>
            <w:pPr>
              <w:spacing w:after="20"/>
            </w:pPr>
            <w:r/>
            <w:r>
              <w:rPr>
                <w:rFonts w:ascii="Times New Roman" w:hAnsi="Times New Roman" w:eastAsia="Times New Roman"/>
                <w:b/>
                <w:i w:val="0"/>
                <w:color w:val="000000"/>
                <w:sz w:val="24"/>
              </w:rPr>
              <w:t>Destination</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Browser caller</w:t>
            </w:r>
          </w:p>
        </w:tc>
        <w:tc>
          <w:tcPr>
            <w:tcW w:type="dxa" w:w="3096"/>
            <w:vAlign w:val="center"/>
          </w:tcPr>
          <w:p>
            <w:pPr>
              <w:spacing w:after="20" w:line="240" w:lineRule="auto"/>
            </w:pPr>
            <w:r/>
            <w:r>
              <w:rPr>
                <w:rFonts w:ascii="Times New Roman" w:hAnsi="Times New Roman" w:eastAsia="Times New Roman"/>
                <w:b w:val="0"/>
                <w:i w:val="0"/>
                <w:color w:val="000000"/>
                <w:sz w:val="24"/>
              </w:rPr>
              <w:t>Text or microphone audio</w:t>
            </w:r>
          </w:p>
        </w:tc>
        <w:tc>
          <w:tcPr>
            <w:tcW w:type="dxa" w:w="4176"/>
            <w:vAlign w:val="center"/>
          </w:tcPr>
          <w:p>
            <w:pPr>
              <w:spacing w:after="20" w:line="240" w:lineRule="auto"/>
            </w:pPr>
            <w:r/>
            <w:r>
              <w:rPr>
                <w:rFonts w:ascii="Times New Roman" w:hAnsi="Times New Roman" w:eastAsia="Times New Roman"/>
                <w:b w:val="0"/>
                <w:i w:val="0"/>
                <w:color w:val="000000"/>
                <w:sz w:val="24"/>
              </w:rPr>
              <w:t>Streamlit interface</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Streamlit interface</w:t>
            </w:r>
          </w:p>
        </w:tc>
        <w:tc>
          <w:tcPr>
            <w:tcW w:type="dxa" w:w="3096"/>
            <w:vAlign w:val="center"/>
          </w:tcPr>
          <w:p>
            <w:pPr>
              <w:spacing w:after="20" w:line="240" w:lineRule="auto"/>
            </w:pPr>
            <w:r/>
            <w:r>
              <w:rPr>
                <w:rFonts w:ascii="Times New Roman" w:hAnsi="Times New Roman" w:eastAsia="Times New Roman"/>
                <w:b w:val="0"/>
                <w:i w:val="0"/>
                <w:color w:val="000000"/>
                <w:sz w:val="24"/>
              </w:rPr>
              <w:t>POST /chat or POST /voice-chat</w:t>
            </w:r>
          </w:p>
        </w:tc>
        <w:tc>
          <w:tcPr>
            <w:tcW w:type="dxa" w:w="4176"/>
            <w:vAlign w:val="center"/>
          </w:tcPr>
          <w:p>
            <w:pPr>
              <w:spacing w:after="20" w:line="240" w:lineRule="auto"/>
            </w:pPr>
            <w:r/>
            <w:r>
              <w:rPr>
                <w:rFonts w:ascii="Times New Roman" w:hAnsi="Times New Roman" w:eastAsia="Times New Roman"/>
                <w:b w:val="0"/>
                <w:i w:val="0"/>
                <w:color w:val="000000"/>
                <w:sz w:val="24"/>
              </w:rPr>
              <w:t>FastAPI backend</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FastAPI backend</w:t>
            </w:r>
          </w:p>
        </w:tc>
        <w:tc>
          <w:tcPr>
            <w:tcW w:type="dxa" w:w="3096"/>
            <w:vAlign w:val="center"/>
          </w:tcPr>
          <w:p>
            <w:pPr>
              <w:spacing w:after="20" w:line="240" w:lineRule="auto"/>
            </w:pPr>
            <w:r/>
            <w:r>
              <w:rPr>
                <w:rFonts w:ascii="Times New Roman" w:hAnsi="Times New Roman" w:eastAsia="Times New Roman"/>
                <w:b w:val="0"/>
                <w:i w:val="0"/>
                <w:color w:val="000000"/>
                <w:sz w:val="24"/>
              </w:rPr>
              <w:t>Urdu transcription for voice turns</w:t>
            </w:r>
          </w:p>
        </w:tc>
        <w:tc>
          <w:tcPr>
            <w:tcW w:type="dxa" w:w="4176"/>
            <w:vAlign w:val="center"/>
          </w:tcPr>
          <w:p>
            <w:pPr>
              <w:spacing w:after="20" w:line="240" w:lineRule="auto"/>
            </w:pPr>
            <w:r/>
            <w:r>
              <w:rPr>
                <w:rFonts w:ascii="Times New Roman" w:hAnsi="Times New Roman" w:eastAsia="Times New Roman"/>
                <w:b w:val="0"/>
                <w:i w:val="0"/>
                <w:color w:val="000000"/>
                <w:sz w:val="24"/>
              </w:rPr>
              <w:t>Deepgram Nova-3</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FastAPI backend</w:t>
            </w:r>
          </w:p>
        </w:tc>
        <w:tc>
          <w:tcPr>
            <w:tcW w:type="dxa" w:w="3096"/>
            <w:vAlign w:val="center"/>
          </w:tcPr>
          <w:p>
            <w:pPr>
              <w:spacing w:after="20" w:line="240" w:lineRule="auto"/>
            </w:pPr>
            <w:r/>
            <w:r>
              <w:rPr>
                <w:rFonts w:ascii="Times New Roman" w:hAnsi="Times New Roman" w:eastAsia="Times New Roman"/>
                <w:b w:val="0"/>
                <w:i w:val="0"/>
                <w:color w:val="000000"/>
                <w:sz w:val="24"/>
              </w:rPr>
              <w:t>Per-session dialogue, state and tools</w:t>
            </w:r>
          </w:p>
        </w:tc>
        <w:tc>
          <w:tcPr>
            <w:tcW w:type="dxa" w:w="4176"/>
            <w:vAlign w:val="center"/>
          </w:tcPr>
          <w:p>
            <w:pPr>
              <w:spacing w:after="20" w:line="240" w:lineRule="auto"/>
            </w:pPr>
            <w:r/>
            <w:r>
              <w:rPr>
                <w:rFonts w:ascii="Times New Roman" w:hAnsi="Times New Roman" w:eastAsia="Times New Roman"/>
                <w:b w:val="0"/>
                <w:i w:val="0"/>
                <w:color w:val="000000"/>
                <w:sz w:val="24"/>
              </w:rPr>
              <w:t>RealEstateRAGPipeline</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Conversation pipeline</w:t>
            </w:r>
          </w:p>
        </w:tc>
        <w:tc>
          <w:tcPr>
            <w:tcW w:type="dxa" w:w="3096"/>
            <w:vAlign w:val="center"/>
          </w:tcPr>
          <w:p>
            <w:pPr>
              <w:spacing w:after="20" w:line="240" w:lineRule="auto"/>
            </w:pPr>
            <w:r/>
            <w:r>
              <w:rPr>
                <w:rFonts w:ascii="Times New Roman" w:hAnsi="Times New Roman" w:eastAsia="Times New Roman"/>
                <w:b w:val="0"/>
                <w:i w:val="0"/>
                <w:color w:val="000000"/>
                <w:sz w:val="24"/>
              </w:rPr>
              <w:t>LLM response, FAQ retrieval and property filtering</w:t>
            </w:r>
          </w:p>
        </w:tc>
        <w:tc>
          <w:tcPr>
            <w:tcW w:type="dxa" w:w="4176"/>
            <w:vAlign w:val="center"/>
          </w:tcPr>
          <w:p>
            <w:pPr>
              <w:spacing w:after="20" w:line="240" w:lineRule="auto"/>
            </w:pPr>
            <w:r/>
            <w:r>
              <w:rPr>
                <w:rFonts w:ascii="Times New Roman" w:hAnsi="Times New Roman" w:eastAsia="Times New Roman"/>
                <w:b w:val="0"/>
                <w:i w:val="0"/>
                <w:color w:val="000000"/>
                <w:sz w:val="24"/>
              </w:rPr>
              <w:t>Ollama API, Chroma FAQ store and processed CSV listings</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Conversation pipeline</w:t>
            </w:r>
          </w:p>
        </w:tc>
        <w:tc>
          <w:tcPr>
            <w:tcW w:type="dxa" w:w="3096"/>
            <w:vAlign w:val="center"/>
          </w:tcPr>
          <w:p>
            <w:pPr>
              <w:spacing w:after="20" w:line="240" w:lineRule="auto"/>
            </w:pPr>
            <w:r/>
            <w:r>
              <w:rPr>
                <w:rFonts w:ascii="Times New Roman" w:hAnsi="Times New Roman" w:eastAsia="Times New Roman"/>
                <w:b w:val="0"/>
                <w:i w:val="0"/>
                <w:color w:val="000000"/>
                <w:sz w:val="24"/>
              </w:rPr>
              <w:t>Authenticated visit action</w:t>
            </w:r>
          </w:p>
        </w:tc>
        <w:tc>
          <w:tcPr>
            <w:tcW w:type="dxa" w:w="4176"/>
            <w:vAlign w:val="center"/>
          </w:tcPr>
          <w:p>
            <w:pPr>
              <w:spacing w:after="20" w:line="240" w:lineRule="auto"/>
            </w:pPr>
            <w:r/>
            <w:r>
              <w:rPr>
                <w:rFonts w:ascii="Times New Roman" w:hAnsi="Times New Roman" w:eastAsia="Times New Roman"/>
                <w:b w:val="0"/>
                <w:i w:val="0"/>
                <w:color w:val="000000"/>
                <w:sz w:val="24"/>
              </w:rPr>
              <w:t>n8n workflow</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n8n workflow</w:t>
            </w:r>
          </w:p>
        </w:tc>
        <w:tc>
          <w:tcPr>
            <w:tcW w:type="dxa" w:w="3096"/>
            <w:vAlign w:val="center"/>
          </w:tcPr>
          <w:p>
            <w:pPr>
              <w:spacing w:after="20" w:line="240" w:lineRule="auto"/>
            </w:pPr>
            <w:r/>
            <w:r>
              <w:rPr>
                <w:rFonts w:ascii="Times New Roman" w:hAnsi="Times New Roman" w:eastAsia="Times New Roman"/>
                <w:b w:val="0"/>
                <w:i w:val="0"/>
                <w:color w:val="000000"/>
                <w:sz w:val="24"/>
              </w:rPr>
              <w:t>Calendar event and employee email</w:t>
            </w:r>
          </w:p>
        </w:tc>
        <w:tc>
          <w:tcPr>
            <w:tcW w:type="dxa" w:w="4176"/>
            <w:vAlign w:val="center"/>
          </w:tcPr>
          <w:p>
            <w:pPr>
              <w:spacing w:after="20" w:line="240" w:lineRule="auto"/>
            </w:pPr>
            <w:r/>
            <w:r>
              <w:rPr>
                <w:rFonts w:ascii="Times New Roman" w:hAnsi="Times New Roman" w:eastAsia="Times New Roman"/>
                <w:b w:val="0"/>
                <w:i w:val="0"/>
                <w:color w:val="000000"/>
                <w:sz w:val="24"/>
              </w:rPr>
              <w:t>Google Calendar and configured inbox</w:t>
            </w:r>
          </w:p>
        </w:tc>
      </w:tr>
      <w:tr>
        <w:trPr>
          <w:cantSplit/>
        </w:trPr>
        <w:tc>
          <w:tcPr>
            <w:tcW w:type="dxa" w:w="2520"/>
            <w:vAlign w:val="center"/>
          </w:tcPr>
          <w:p>
            <w:pPr>
              <w:spacing w:after="20" w:line="240" w:lineRule="auto"/>
            </w:pPr>
            <w:r/>
            <w:r>
              <w:rPr>
                <w:rFonts w:ascii="Times New Roman" w:hAnsi="Times New Roman" w:eastAsia="Times New Roman"/>
                <w:b w:val="0"/>
                <w:i w:val="0"/>
                <w:color w:val="000000"/>
                <w:sz w:val="24"/>
              </w:rPr>
              <w:t>Response path</w:t>
            </w:r>
          </w:p>
        </w:tc>
        <w:tc>
          <w:tcPr>
            <w:tcW w:type="dxa" w:w="3096"/>
            <w:vAlign w:val="center"/>
          </w:tcPr>
          <w:p>
            <w:pPr>
              <w:spacing w:after="20" w:line="240" w:lineRule="auto"/>
            </w:pPr>
            <w:r/>
            <w:r>
              <w:rPr>
                <w:rFonts w:ascii="Times New Roman" w:hAnsi="Times New Roman" w:eastAsia="Times New Roman"/>
                <w:b w:val="0"/>
                <w:i w:val="0"/>
                <w:color w:val="000000"/>
                <w:sz w:val="24"/>
              </w:rPr>
              <w:t>Urdu neural speech and browser audio</w:t>
            </w:r>
          </w:p>
        </w:tc>
        <w:tc>
          <w:tcPr>
            <w:tcW w:type="dxa" w:w="4176"/>
            <w:vAlign w:val="center"/>
          </w:tcPr>
          <w:p>
            <w:pPr>
              <w:spacing w:after="20" w:line="240" w:lineRule="auto"/>
            </w:pPr>
            <w:r/>
            <w:r>
              <w:rPr>
                <w:rFonts w:ascii="Times New Roman" w:hAnsi="Times New Roman" w:eastAsia="Times New Roman"/>
                <w:b w:val="0"/>
                <w:i w:val="0"/>
                <w:color w:val="000000"/>
                <w:sz w:val="24"/>
              </w:rPr>
              <w:t>Edge TTS, WAV file and Streamlit</w:t>
            </w:r>
          </w:p>
        </w:tc>
      </w:tr>
    </w:tbl>
    <w:p>
      <w:pPr>
        <w:spacing w:after="20"/>
      </w:pPr>
    </w:p>
    <w:p>
      <w:r>
        <w:rPr>
          <w:rFonts w:ascii="Times New Roman" w:hAnsi="Times New Roman" w:eastAsia="Times New Roman"/>
          <w:b w:val="0"/>
          <w:i w:val="0"/>
          <w:color w:val="000000"/>
          <w:sz w:val="24"/>
        </w:rPr>
        <w:t>SQLite databases and generated files are stored in a named Docker volume. The Compose setup includes backend and frontend health checks, restricted container privileges, and localhost port bindings. A user-reported Compose run built the images, showed the backend as Healthy, and started the frontend.</w:t>
      </w:r>
    </w:p>
    <w:p>
      <w:pPr>
        <w:pStyle w:val="Heading1"/>
      </w:pPr>
      <w:r>
        <w:rPr>
          <w:rFonts w:ascii="Times New Roman" w:hAnsi="Times New Roman" w:eastAsia="Times New Roman"/>
          <w:b/>
          <w:i w:val="0"/>
          <w:color w:val="000000"/>
          <w:sz w:val="24"/>
        </w:rPr>
        <w:t>Evaluation Summary</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800"/>
            <w:vAlign w:val="center"/>
            <w:shd w:fill="EAEAEA"/>
          </w:tcPr>
          <w:p>
            <w:pPr>
              <w:spacing w:after="20"/>
            </w:pPr>
            <w:r/>
            <w:r>
              <w:rPr>
                <w:rFonts w:ascii="Times New Roman" w:hAnsi="Times New Roman" w:eastAsia="Times New Roman"/>
                <w:b/>
                <w:i w:val="0"/>
                <w:color w:val="000000"/>
                <w:sz w:val="24"/>
              </w:rPr>
              <w:t>Area</w:t>
            </w:r>
          </w:p>
        </w:tc>
        <w:tc>
          <w:tcPr>
            <w:tcW w:type="dxa" w:w="4392"/>
            <w:vAlign w:val="center"/>
            <w:shd w:fill="EAEAEA"/>
          </w:tcPr>
          <w:p>
            <w:pPr>
              <w:spacing w:after="20"/>
            </w:pPr>
            <w:r/>
            <w:r>
              <w:rPr>
                <w:rFonts w:ascii="Times New Roman" w:hAnsi="Times New Roman" w:eastAsia="Times New Roman"/>
                <w:b/>
                <w:i w:val="0"/>
                <w:color w:val="000000"/>
                <w:sz w:val="24"/>
              </w:rPr>
              <w:t>Recorded evidence</w:t>
            </w:r>
          </w:p>
        </w:tc>
        <w:tc>
          <w:tcPr>
            <w:tcW w:type="dxa" w:w="3600"/>
            <w:vAlign w:val="center"/>
            <w:shd w:fill="EAEAEA"/>
          </w:tcPr>
          <w:p>
            <w:pPr>
              <w:spacing w:after="20"/>
            </w:pPr>
            <w:r/>
            <w:r>
              <w:rPr>
                <w:rFonts w:ascii="Times New Roman" w:hAnsi="Times New Roman" w:eastAsia="Times New Roman"/>
                <w:b/>
                <w:i w:val="0"/>
                <w:color w:val="000000"/>
                <w:sz w:val="24"/>
              </w:rPr>
              <w:t>Interpretation</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Conversation quality</w:t>
            </w:r>
          </w:p>
        </w:tc>
        <w:tc>
          <w:tcPr>
            <w:tcW w:type="dxa" w:w="4392"/>
            <w:vAlign w:val="center"/>
          </w:tcPr>
          <w:p>
            <w:pPr>
              <w:spacing w:after="20" w:line="240" w:lineRule="auto"/>
            </w:pPr>
            <w:r/>
            <w:r>
              <w:rPr>
                <w:rFonts w:ascii="Times New Roman" w:hAnsi="Times New Roman" w:eastAsia="Times New Roman"/>
                <w:b w:val="0"/>
                <w:i w:val="0"/>
                <w:color w:val="000000"/>
                <w:sz w:val="24"/>
              </w:rPr>
              <w:t>Previously recorded human scores: naturalness 4.7/5, persuasiveness 4.9/5, fluency 4.8/5, and conversation flow 5.0/5.</w:t>
            </w:r>
          </w:p>
        </w:tc>
        <w:tc>
          <w:tcPr>
            <w:tcW w:type="dxa" w:w="3600"/>
            <w:vAlign w:val="center"/>
          </w:tcPr>
          <w:p>
            <w:pPr>
              <w:spacing w:after="20" w:line="240" w:lineRule="auto"/>
            </w:pPr>
            <w:r/>
            <w:r>
              <w:rPr>
                <w:rFonts w:ascii="Times New Roman" w:hAnsi="Times New Roman" w:eastAsia="Times New Roman"/>
                <w:b w:val="0"/>
                <w:i w:val="0"/>
                <w:color w:val="000000"/>
                <w:sz w:val="24"/>
              </w:rPr>
              <w:t>These are reported worksheet scores; reviewer count and scoring rubric were not recorded.</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Latency</w:t>
            </w:r>
          </w:p>
        </w:tc>
        <w:tc>
          <w:tcPr>
            <w:tcW w:type="dxa" w:w="4392"/>
            <w:vAlign w:val="center"/>
          </w:tcPr>
          <w:p>
            <w:pPr>
              <w:spacing w:after="20" w:line="240" w:lineRule="auto"/>
            </w:pPr>
            <w:r/>
            <w:r>
              <w:rPr>
                <w:rFonts w:ascii="Times New Roman" w:hAnsi="Times New Roman" w:eastAsia="Times New Roman"/>
                <w:b w:val="0"/>
                <w:i w:val="0"/>
                <w:color w:val="000000"/>
                <w:sz w:val="24"/>
              </w:rPr>
              <w:t>The worksheet estimates about 5.6 seconds per turn and gives latency 4.2/5 against a target below 5 seconds.</w:t>
            </w:r>
          </w:p>
        </w:tc>
        <w:tc>
          <w:tcPr>
            <w:tcW w:type="dxa" w:w="3600"/>
            <w:vAlign w:val="center"/>
          </w:tcPr>
          <w:p>
            <w:pPr>
              <w:spacing w:after="20" w:line="240" w:lineRule="auto"/>
            </w:pPr>
            <w:r/>
            <w:r>
              <w:rPr>
                <w:rFonts w:ascii="Times New Roman" w:hAnsi="Times New Roman" w:eastAsia="Times New Roman"/>
                <w:b w:val="0"/>
                <w:i w:val="0"/>
                <w:color w:val="000000"/>
                <w:sz w:val="24"/>
              </w:rPr>
              <w:t>The recorded estimate is about 0.6 seconds above the stated target.</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Retrieval and grounding</w:t>
            </w:r>
          </w:p>
        </w:tc>
        <w:tc>
          <w:tcPr>
            <w:tcW w:type="dxa" w:w="4392"/>
            <w:vAlign w:val="center"/>
          </w:tcPr>
          <w:p>
            <w:pPr>
              <w:spacing w:after="20" w:line="240" w:lineRule="auto"/>
            </w:pPr>
            <w:r/>
            <w:r>
              <w:rPr>
                <w:rFonts w:ascii="Times New Roman" w:hAnsi="Times New Roman" w:eastAsia="Times New Roman"/>
                <w:b w:val="0"/>
                <w:i w:val="0"/>
                <w:color w:val="000000"/>
                <w:sz w:val="24"/>
              </w:rPr>
              <w:t>A 20-question historical evaluator reports 100% retrieval, 90% grounding, and 0% hallucination.</w:t>
            </w:r>
          </w:p>
        </w:tc>
        <w:tc>
          <w:tcPr>
            <w:tcW w:type="dxa" w:w="3600"/>
            <w:vAlign w:val="center"/>
          </w:tcPr>
          <w:p>
            <w:pPr>
              <w:spacing w:after="20" w:line="240" w:lineRule="auto"/>
            </w:pPr>
            <w:r/>
            <w:r>
              <w:rPr>
                <w:rFonts w:ascii="Times New Roman" w:hAnsi="Times New Roman" w:eastAsia="Times New Roman"/>
                <w:b w:val="0"/>
                <w:i w:val="0"/>
                <w:color w:val="000000"/>
                <w:sz w:val="24"/>
              </w:rPr>
              <w:t>Its counters treat an empty property result as a successful handled query, count any retrieval as grounded, and never increment the hallucination counter.</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Property recommendation</w:t>
            </w:r>
          </w:p>
        </w:tc>
        <w:tc>
          <w:tcPr>
            <w:tcW w:type="dxa" w:w="4392"/>
            <w:vAlign w:val="center"/>
          </w:tcPr>
          <w:p>
            <w:pPr>
              <w:spacing w:after="20" w:line="240" w:lineRule="auto"/>
            </w:pPr>
            <w:r/>
            <w:r>
              <w:rPr>
                <w:rFonts w:ascii="Times New Roman" w:hAnsi="Times New Roman" w:eastAsia="Times New Roman"/>
                <w:b w:val="0"/>
                <w:i w:val="0"/>
                <w:color w:val="000000"/>
                <w:sz w:val="24"/>
              </w:rPr>
              <w:t>A local query for an Islamabad one-kanal sale under PKR 16 crore returned five candidate listings from 675 processed property records.</w:t>
            </w:r>
          </w:p>
        </w:tc>
        <w:tc>
          <w:tcPr>
            <w:tcW w:type="dxa" w:w="3600"/>
            <w:vAlign w:val="center"/>
          </w:tcPr>
          <w:p>
            <w:pPr>
              <w:spacing w:after="20" w:line="240" w:lineRule="auto"/>
            </w:pPr>
            <w:r/>
            <w:r>
              <w:rPr>
                <w:rFonts w:ascii="Times New Roman" w:hAnsi="Times New Roman" w:eastAsia="Times New Roman"/>
                <w:b w:val="0"/>
                <w:i w:val="0"/>
                <w:color w:val="000000"/>
                <w:sz w:val="24"/>
              </w:rPr>
              <w:t>The five returned prices were within the requested maximum budget.</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Appointment workflow</w:t>
            </w:r>
          </w:p>
        </w:tc>
        <w:tc>
          <w:tcPr>
            <w:tcW w:type="dxa" w:w="4392"/>
            <w:vAlign w:val="center"/>
          </w:tcPr>
          <w:p>
            <w:pPr>
              <w:spacing w:after="20" w:line="240" w:lineRule="auto"/>
            </w:pPr>
            <w:r/>
            <w:r>
              <w:rPr>
                <w:rFonts w:ascii="Times New Roman" w:hAnsi="Times New Roman" w:eastAsia="Times New Roman"/>
                <w:b w:val="0"/>
                <w:i w:val="0"/>
                <w:color w:val="000000"/>
                <w:sz w:val="24"/>
              </w:rPr>
              <w:t>The user reported receiving a Calendar event and employee email, but Uzma said it could not confirm the time. One occupied slot was declined and another time requested.</w:t>
            </w:r>
          </w:p>
        </w:tc>
        <w:tc>
          <w:tcPr>
            <w:tcW w:type="dxa" w:w="3600"/>
            <w:vAlign w:val="center"/>
          </w:tcPr>
          <w:p>
            <w:pPr>
              <w:spacing w:after="20" w:line="240" w:lineRule="auto"/>
            </w:pPr>
            <w:r/>
            <w:r>
              <w:rPr>
                <w:rFonts w:ascii="Times New Roman" w:hAnsi="Times New Roman" w:eastAsia="Times New Roman"/>
                <w:b w:val="0"/>
                <w:i w:val="0"/>
                <w:color w:val="000000"/>
                <w:sz w:val="24"/>
              </w:rPr>
              <w:t>The booking side effects completed in the reported case, while the agent’s spoken confirmation was inaccurate.</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Conversation memory</w:t>
            </w:r>
          </w:p>
        </w:tc>
        <w:tc>
          <w:tcPr>
            <w:tcW w:type="dxa" w:w="4392"/>
            <w:vAlign w:val="center"/>
          </w:tcPr>
          <w:p>
            <w:pPr>
              <w:spacing w:after="20" w:line="240" w:lineRule="auto"/>
            </w:pPr>
            <w:r/>
            <w:r>
              <w:rPr>
                <w:rFonts w:ascii="Times New Roman" w:hAnsi="Times New Roman" w:eastAsia="Times New Roman"/>
                <w:b w:val="0"/>
                <w:i w:val="0"/>
                <w:color w:val="000000"/>
                <w:sz w:val="24"/>
              </w:rPr>
              <w:t>A voice conversation retained Lahore, rental, two bedrooms, and budget. Raising the budget from PKR 100,000 to PKR 200,000 changed the recommendation.</w:t>
            </w:r>
          </w:p>
        </w:tc>
        <w:tc>
          <w:tcPr>
            <w:tcW w:type="dxa" w:w="3600"/>
            <w:vAlign w:val="center"/>
          </w:tcPr>
          <w:p>
            <w:pPr>
              <w:spacing w:after="20" w:line="240" w:lineRule="auto"/>
            </w:pPr>
            <w:r/>
            <w:r>
              <w:rPr>
                <w:rFonts w:ascii="Times New Roman" w:hAnsi="Times New Roman" w:eastAsia="Times New Roman"/>
                <w:b w:val="0"/>
                <w:i w:val="0"/>
                <w:color w:val="000000"/>
                <w:sz w:val="24"/>
              </w:rPr>
              <w:t>Preference retention and revision were observed across turns in that session.</w:t>
            </w:r>
          </w:p>
        </w:tc>
      </w:tr>
      <w:tr>
        <w:trPr>
          <w:cantSplit/>
        </w:trPr>
        <w:tc>
          <w:tcPr>
            <w:tcW w:type="dxa" w:w="1800"/>
            <w:vAlign w:val="center"/>
          </w:tcPr>
          <w:p>
            <w:pPr>
              <w:spacing w:after="20" w:line="240" w:lineRule="auto"/>
            </w:pPr>
            <w:r/>
            <w:r>
              <w:rPr>
                <w:rFonts w:ascii="Times New Roman" w:hAnsi="Times New Roman" w:eastAsia="Times New Roman"/>
                <w:b w:val="0"/>
                <w:i w:val="0"/>
                <w:color w:val="000000"/>
                <w:sz w:val="24"/>
              </w:rPr>
              <w:t>Prompt-injection checks</w:t>
            </w:r>
          </w:p>
        </w:tc>
        <w:tc>
          <w:tcPr>
            <w:tcW w:type="dxa" w:w="4392"/>
            <w:vAlign w:val="center"/>
          </w:tcPr>
          <w:p>
            <w:pPr>
              <w:spacing w:after="20" w:line="240" w:lineRule="auto"/>
            </w:pPr>
            <w:r/>
            <w:r>
              <w:rPr>
                <w:rFonts w:ascii="Times New Roman" w:hAnsi="Times New Roman" w:eastAsia="Times New Roman"/>
                <w:b w:val="0"/>
                <w:i w:val="0"/>
                <w:color w:val="000000"/>
                <w:sz w:val="24"/>
              </w:rPr>
              <w:t>Three local text prompts requesting hidden instructions, secrets/customer data, or an unrelated role were refused or redirected.</w:t>
            </w:r>
          </w:p>
        </w:tc>
        <w:tc>
          <w:tcPr>
            <w:tcW w:type="dxa" w:w="3600"/>
            <w:vAlign w:val="center"/>
          </w:tcPr>
          <w:p>
            <w:pPr>
              <w:spacing w:after="20" w:line="240" w:lineRule="auto"/>
            </w:pPr>
            <w:r/>
            <w:r>
              <w:rPr>
                <w:rFonts w:ascii="Times New Roman" w:hAnsi="Times New Roman" w:eastAsia="Times New Roman"/>
                <w:b w:val="0"/>
                <w:i w:val="0"/>
                <w:color w:val="000000"/>
                <w:sz w:val="24"/>
              </w:rPr>
              <w:t>All three exact probes were contained in the smoke check.</w:t>
            </w:r>
          </w:p>
        </w:tc>
      </w:tr>
    </w:tbl>
    <w:p>
      <w:pPr>
        <w:spacing w:after="20"/>
      </w:pPr>
    </w:p>
    <w:p>
      <w:pPr>
        <w:pStyle w:val="Heading1"/>
      </w:pPr>
      <w:r>
        <w:rPr>
          <w:rFonts w:ascii="Times New Roman" w:hAnsi="Times New Roman" w:eastAsia="Times New Roman"/>
          <w:b/>
          <w:i w:val="0"/>
          <w:color w:val="000000"/>
          <w:sz w:val="24"/>
        </w:rPr>
        <w:t>Current Limitations</w:t>
      </w:r>
    </w:p>
    <w:p>
      <w:pPr>
        <w:ind w:left="317" w:hanging="230"/>
      </w:pPr>
      <w:r>
        <w:rPr>
          <w:rFonts w:ascii="Times New Roman" w:hAnsi="Times New Roman" w:eastAsia="Times New Roman"/>
          <w:b w:val="0"/>
          <w:i w:val="0"/>
          <w:color w:val="000000"/>
          <w:sz w:val="24"/>
        </w:rPr>
        <w:t>• Voice input currently comes through the browser microphone. No telephone carrier or SIP connection is wired into the application.</w:t>
      </w:r>
    </w:p>
    <w:p>
      <w:pPr>
        <w:ind w:left="317" w:hanging="230"/>
      </w:pPr>
      <w:r>
        <w:rPr>
          <w:rFonts w:ascii="Times New Roman" w:hAnsi="Times New Roman" w:eastAsia="Times New Roman"/>
          <w:b w:val="0"/>
          <w:i w:val="0"/>
          <w:color w:val="000000"/>
          <w:sz w:val="24"/>
        </w:rPr>
        <w:t>• The active conversation path is a custom Python pipeline in rag/rag_pipeline.py. The separate LangGraph file is not the FastAPI runtime workflow.</w:t>
      </w:r>
    </w:p>
    <w:p>
      <w:pPr>
        <w:ind w:left="317" w:hanging="230"/>
      </w:pPr>
      <w:r>
        <w:rPr>
          <w:rFonts w:ascii="Times New Roman" w:hAnsi="Times New Roman" w:eastAsia="Times New Roman"/>
          <w:b w:val="0"/>
          <w:i w:val="0"/>
          <w:color w:val="000000"/>
          <w:sz w:val="24"/>
        </w:rPr>
        <w:t>• Booking requires the n8n workflow response to confirm success and return a Calendar event ID. In the user-reported booking, Calendar and email actions completed but the response was treated as a failure.</w:t>
      </w:r>
    </w:p>
    <w:p>
      <w:pPr>
        <w:ind w:left="317" w:hanging="230"/>
      </w:pPr>
      <w:r>
        <w:rPr>
          <w:rFonts w:ascii="Times New Roman" w:hAnsi="Times New Roman" w:eastAsia="Times New Roman"/>
          <w:b w:val="0"/>
          <w:i w:val="0"/>
          <w:color w:val="000000"/>
          <w:sz w:val="24"/>
        </w:rPr>
        <w:t>• FastAPI routes do not include user authentication or request rate limiting. Docker Compose binds local ports to localhost for the current local deployment.</w:t>
      </w:r>
    </w:p>
    <w:p>
      <w:pPr>
        <w:ind w:left="317" w:hanging="230"/>
      </w:pPr>
      <w:r>
        <w:rPr>
          <w:rFonts w:ascii="Times New Roman" w:hAnsi="Times New Roman" w:eastAsia="Times New Roman"/>
          <w:b w:val="0"/>
          <w:i w:val="0"/>
          <w:color w:val="000000"/>
          <w:sz w:val="24"/>
        </w:rPr>
        <w:t>• Conversation state is kept in backend process memory; SQLite stores visit and CRM records. The current employee assignment records use the configured business email.</w:t>
      </w:r>
    </w:p>
    <w:p>
      <w:pPr>
        <w:ind w:left="317" w:hanging="230"/>
      </w:pPr>
      <w:r>
        <w:rPr>
          <w:rFonts w:ascii="Times New Roman" w:hAnsi="Times New Roman" w:eastAsia="Times New Roman"/>
          <w:b w:val="0"/>
          <w:i w:val="0"/>
          <w:color w:val="000000"/>
          <w:sz w:val="24"/>
        </w:rPr>
        <w:t>• Observed replies have included Roman Urdu, so the requested consistent Urdu script with English terms remains a language-quality issue.</w:t>
      </w:r>
    </w:p>
    <w:p>
      <w:pPr>
        <w:ind w:left="317" w:hanging="230"/>
      </w:pPr>
      <w:r>
        <w:rPr>
          <w:rFonts w:ascii="Times New Roman" w:hAnsi="Times New Roman" w:eastAsia="Times New Roman"/>
          <w:b w:val="0"/>
          <w:i w:val="0"/>
          <w:color w:val="000000"/>
          <w:sz w:val="24"/>
        </w:rPr>
        <w:t>• Property recommendations use the processed property CSV snapshot; an automatic live listing feed is not part of the current path.</w:t>
      </w:r>
    </w:p>
    <w:p>
      <w:pPr>
        <w:pStyle w:val="Heading1"/>
      </w:pPr>
      <w:r>
        <w:rPr>
          <w:rFonts w:ascii="Times New Roman" w:hAnsi="Times New Roman" w:eastAsia="Times New Roman"/>
          <w:b/>
          <w:i w:val="0"/>
          <w:color w:val="000000"/>
          <w:sz w:val="24"/>
        </w:rPr>
        <w:t>Future Roadmap</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008"/>
            <w:vAlign w:val="center"/>
            <w:shd w:fill="EAEAEA"/>
          </w:tcPr>
          <w:p>
            <w:pPr>
              <w:spacing w:after="20"/>
            </w:pPr>
            <w:r/>
            <w:r>
              <w:rPr>
                <w:rFonts w:ascii="Times New Roman" w:hAnsi="Times New Roman" w:eastAsia="Times New Roman"/>
                <w:b/>
                <w:i w:val="0"/>
                <w:color w:val="000000"/>
                <w:sz w:val="24"/>
              </w:rPr>
              <w:t>Priority</w:t>
            </w:r>
          </w:p>
        </w:tc>
        <w:tc>
          <w:tcPr>
            <w:tcW w:type="dxa" w:w="4752"/>
            <w:vAlign w:val="center"/>
            <w:shd w:fill="EAEAEA"/>
          </w:tcPr>
          <w:p>
            <w:pPr>
              <w:spacing w:after="20"/>
            </w:pPr>
            <w:r/>
            <w:r>
              <w:rPr>
                <w:rFonts w:ascii="Times New Roman" w:hAnsi="Times New Roman" w:eastAsia="Times New Roman"/>
                <w:b/>
                <w:i w:val="0"/>
                <w:color w:val="000000"/>
                <w:sz w:val="24"/>
              </w:rPr>
              <w:t>Enhancement</w:t>
            </w:r>
          </w:p>
        </w:tc>
        <w:tc>
          <w:tcPr>
            <w:tcW w:type="dxa" w:w="4032"/>
            <w:vAlign w:val="center"/>
            <w:shd w:fill="EAEAEA"/>
          </w:tcPr>
          <w:p>
            <w:pPr>
              <w:spacing w:after="20"/>
            </w:pPr>
            <w:r/>
            <w:r>
              <w:rPr>
                <w:rFonts w:ascii="Times New Roman" w:hAnsi="Times New Roman" w:eastAsia="Times New Roman"/>
                <w:b/>
                <w:i w:val="0"/>
                <w:color w:val="000000"/>
                <w:sz w:val="24"/>
              </w:rPr>
              <w:t>Stakeholder value</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1</w:t>
            </w:r>
          </w:p>
        </w:tc>
        <w:tc>
          <w:tcPr>
            <w:tcW w:type="dxa" w:w="4752"/>
            <w:vAlign w:val="center"/>
          </w:tcPr>
          <w:p>
            <w:pPr>
              <w:spacing w:after="20" w:line="240" w:lineRule="auto"/>
            </w:pPr>
            <w:r/>
            <w:r>
              <w:rPr>
                <w:rFonts w:ascii="Times New Roman" w:hAnsi="Times New Roman" w:eastAsia="Times New Roman"/>
                <w:b w:val="0"/>
                <w:i w:val="0"/>
                <w:color w:val="000000"/>
                <w:sz w:val="24"/>
              </w:rPr>
              <w:t>Add authentication, request limits, TLS gateway, and controlled access to the web/API services.</w:t>
            </w:r>
          </w:p>
        </w:tc>
        <w:tc>
          <w:tcPr>
            <w:tcW w:type="dxa" w:w="4032"/>
            <w:vAlign w:val="center"/>
          </w:tcPr>
          <w:p>
            <w:pPr>
              <w:spacing w:after="20" w:line="240" w:lineRule="auto"/>
            </w:pPr>
            <w:r/>
            <w:r>
              <w:rPr>
                <w:rFonts w:ascii="Times New Roman" w:hAnsi="Times New Roman" w:eastAsia="Times New Roman"/>
                <w:b w:val="0"/>
                <w:i w:val="0"/>
                <w:color w:val="000000"/>
                <w:sz w:val="24"/>
              </w:rPr>
              <w:t>Protect caller and business data before a wider deployment.</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2</w:t>
            </w:r>
          </w:p>
        </w:tc>
        <w:tc>
          <w:tcPr>
            <w:tcW w:type="dxa" w:w="4752"/>
            <w:vAlign w:val="center"/>
          </w:tcPr>
          <w:p>
            <w:pPr>
              <w:spacing w:after="20" w:line="240" w:lineRule="auto"/>
            </w:pPr>
            <w:r/>
            <w:r>
              <w:rPr>
                <w:rFonts w:ascii="Times New Roman" w:hAnsi="Times New Roman" w:eastAsia="Times New Roman"/>
                <w:b w:val="0"/>
                <w:i w:val="0"/>
                <w:color w:val="000000"/>
                <w:sz w:val="24"/>
              </w:rPr>
              <w:t>Close the Calendar confirmation gap and reconcile workflow response, event ID, email, and local visit record.</w:t>
            </w:r>
          </w:p>
        </w:tc>
        <w:tc>
          <w:tcPr>
            <w:tcW w:type="dxa" w:w="4032"/>
            <w:vAlign w:val="center"/>
          </w:tcPr>
          <w:p>
            <w:pPr>
              <w:spacing w:after="20" w:line="240" w:lineRule="auto"/>
            </w:pPr>
            <w:r/>
            <w:r>
              <w:rPr>
                <w:rFonts w:ascii="Times New Roman" w:hAnsi="Times New Roman" w:eastAsia="Times New Roman"/>
                <w:b w:val="0"/>
                <w:i w:val="0"/>
                <w:color w:val="000000"/>
                <w:sz w:val="24"/>
              </w:rPr>
              <w:t>Give callers accurate booking confirmations and dependable rescheduling/cancellation.</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3</w:t>
            </w:r>
          </w:p>
        </w:tc>
        <w:tc>
          <w:tcPr>
            <w:tcW w:type="dxa" w:w="4752"/>
            <w:vAlign w:val="center"/>
          </w:tcPr>
          <w:p>
            <w:pPr>
              <w:spacing w:after="20" w:line="240" w:lineRule="auto"/>
            </w:pPr>
            <w:r/>
            <w:r>
              <w:rPr>
                <w:rFonts w:ascii="Times New Roman" w:hAnsi="Times New Roman" w:eastAsia="Times New Roman"/>
                <w:b w:val="0"/>
                <w:i w:val="0"/>
                <w:color w:val="000000"/>
                <w:sz w:val="24"/>
              </w:rPr>
              <w:t>Wire a telephony provider or SIP service into the voice workflow.</w:t>
            </w:r>
          </w:p>
        </w:tc>
        <w:tc>
          <w:tcPr>
            <w:tcW w:type="dxa" w:w="4032"/>
            <w:vAlign w:val="center"/>
          </w:tcPr>
          <w:p>
            <w:pPr>
              <w:spacing w:after="20" w:line="240" w:lineRule="auto"/>
            </w:pPr>
            <w:r/>
            <w:r>
              <w:rPr>
                <w:rFonts w:ascii="Times New Roman" w:hAnsi="Times New Roman" w:eastAsia="Times New Roman"/>
                <w:b w:val="0"/>
                <w:i w:val="0"/>
                <w:color w:val="000000"/>
                <w:sz w:val="24"/>
              </w:rPr>
              <w:t>Answer actual incoming phone calls rather than browser microphone sessions.</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4</w:t>
            </w:r>
          </w:p>
        </w:tc>
        <w:tc>
          <w:tcPr>
            <w:tcW w:type="dxa" w:w="4752"/>
            <w:vAlign w:val="center"/>
          </w:tcPr>
          <w:p>
            <w:pPr>
              <w:spacing w:after="20" w:line="240" w:lineRule="auto"/>
            </w:pPr>
            <w:r/>
            <w:r>
              <w:rPr>
                <w:rFonts w:ascii="Times New Roman" w:hAnsi="Times New Roman" w:eastAsia="Times New Roman"/>
                <w:b w:val="0"/>
                <w:i w:val="0"/>
                <w:color w:val="000000"/>
                <w:sz w:val="24"/>
              </w:rPr>
              <w:t>Move orchestration to the required LangGraph workflow and add isolated tool-state tests.</w:t>
            </w:r>
          </w:p>
        </w:tc>
        <w:tc>
          <w:tcPr>
            <w:tcW w:type="dxa" w:w="4032"/>
            <w:vAlign w:val="center"/>
          </w:tcPr>
          <w:p>
            <w:pPr>
              <w:spacing w:after="20" w:line="240" w:lineRule="auto"/>
            </w:pPr>
            <w:r/>
            <w:r>
              <w:rPr>
                <w:rFonts w:ascii="Times New Roman" w:hAnsi="Times New Roman" w:eastAsia="Times New Roman"/>
                <w:b w:val="0"/>
                <w:i w:val="0"/>
                <w:color w:val="000000"/>
                <w:sz w:val="24"/>
              </w:rPr>
              <w:t>Make state transitions and Calendar/email actions explicit and auditable.</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5</w:t>
            </w:r>
          </w:p>
        </w:tc>
        <w:tc>
          <w:tcPr>
            <w:tcW w:type="dxa" w:w="4752"/>
            <w:vAlign w:val="center"/>
          </w:tcPr>
          <w:p>
            <w:pPr>
              <w:spacing w:after="20" w:line="240" w:lineRule="auto"/>
            </w:pPr>
            <w:r/>
            <w:r>
              <w:rPr>
                <w:rFonts w:ascii="Times New Roman" w:hAnsi="Times New Roman" w:eastAsia="Times New Roman"/>
                <w:b w:val="0"/>
                <w:i w:val="0"/>
                <w:color w:val="000000"/>
                <w:sz w:val="24"/>
              </w:rPr>
              <w:t>Evaluate Urdu-script/code-switching with native-speaker review and improve response consistency.</w:t>
            </w:r>
          </w:p>
        </w:tc>
        <w:tc>
          <w:tcPr>
            <w:tcW w:type="dxa" w:w="4032"/>
            <w:vAlign w:val="center"/>
          </w:tcPr>
          <w:p>
            <w:pPr>
              <w:spacing w:after="20" w:line="240" w:lineRule="auto"/>
            </w:pPr>
            <w:r/>
            <w:r>
              <w:rPr>
                <w:rFonts w:ascii="Times New Roman" w:hAnsi="Times New Roman" w:eastAsia="Times New Roman"/>
                <w:b w:val="0"/>
                <w:i w:val="0"/>
                <w:color w:val="000000"/>
                <w:sz w:val="24"/>
              </w:rPr>
              <w:t>Deliver the requested conversational experience.</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6</w:t>
            </w:r>
          </w:p>
        </w:tc>
        <w:tc>
          <w:tcPr>
            <w:tcW w:type="dxa" w:w="4752"/>
            <w:vAlign w:val="center"/>
          </w:tcPr>
          <w:p>
            <w:pPr>
              <w:spacing w:after="20" w:line="240" w:lineRule="auto"/>
            </w:pPr>
            <w:r/>
            <w:r>
              <w:rPr>
                <w:rFonts w:ascii="Times New Roman" w:hAnsi="Times New Roman" w:eastAsia="Times New Roman"/>
                <w:b w:val="0"/>
                <w:i w:val="0"/>
                <w:color w:val="000000"/>
                <w:sz w:val="24"/>
              </w:rPr>
              <w:t>Add external monitoring, backup/restore verification, and persistent shared session storage.</w:t>
            </w:r>
          </w:p>
        </w:tc>
        <w:tc>
          <w:tcPr>
            <w:tcW w:type="dxa" w:w="4032"/>
            <w:vAlign w:val="center"/>
          </w:tcPr>
          <w:p>
            <w:pPr>
              <w:spacing w:after="20" w:line="240" w:lineRule="auto"/>
            </w:pPr>
            <w:r/>
            <w:r>
              <w:rPr>
                <w:rFonts w:ascii="Times New Roman" w:hAnsi="Times New Roman" w:eastAsia="Times New Roman"/>
                <w:b w:val="0"/>
                <w:i w:val="0"/>
                <w:color w:val="000000"/>
                <w:sz w:val="24"/>
              </w:rPr>
              <w:t>Improve operational visibility and continuity.</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7</w:t>
            </w:r>
          </w:p>
        </w:tc>
        <w:tc>
          <w:tcPr>
            <w:tcW w:type="dxa" w:w="4752"/>
            <w:vAlign w:val="center"/>
          </w:tcPr>
          <w:p>
            <w:pPr>
              <w:spacing w:after="20" w:line="240" w:lineRule="auto"/>
            </w:pPr>
            <w:r/>
            <w:r>
              <w:rPr>
                <w:rFonts w:ascii="Times New Roman" w:hAnsi="Times New Roman" w:eastAsia="Times New Roman"/>
                <w:b w:val="0"/>
                <w:i w:val="0"/>
                <w:color w:val="000000"/>
                <w:sz w:val="24"/>
              </w:rPr>
              <w:t>Connect live property feeds and CRM platforms such as Salesforce or HubSpot.</w:t>
            </w:r>
          </w:p>
        </w:tc>
        <w:tc>
          <w:tcPr>
            <w:tcW w:type="dxa" w:w="4032"/>
            <w:vAlign w:val="center"/>
          </w:tcPr>
          <w:p>
            <w:pPr>
              <w:spacing w:after="20" w:line="240" w:lineRule="auto"/>
            </w:pPr>
            <w:r/>
            <w:r>
              <w:rPr>
                <w:rFonts w:ascii="Times New Roman" w:hAnsi="Times New Roman" w:eastAsia="Times New Roman"/>
                <w:b w:val="0"/>
                <w:i w:val="0"/>
                <w:color w:val="000000"/>
                <w:sz w:val="24"/>
              </w:rPr>
              <w:t>Keep listing data current and support established sales operations.</w:t>
            </w:r>
          </w:p>
        </w:tc>
      </w:tr>
      <w:tr>
        <w:trPr>
          <w:cantSplit/>
        </w:trPr>
        <w:tc>
          <w:tcPr>
            <w:tcW w:type="dxa" w:w="1008"/>
            <w:vAlign w:val="center"/>
          </w:tcPr>
          <w:p>
            <w:pPr>
              <w:spacing w:after="20" w:line="240" w:lineRule="auto"/>
            </w:pPr>
            <w:r/>
            <w:r>
              <w:rPr>
                <w:rFonts w:ascii="Times New Roman" w:hAnsi="Times New Roman" w:eastAsia="Times New Roman"/>
                <w:b w:val="0"/>
                <w:i w:val="0"/>
                <w:color w:val="000000"/>
                <w:sz w:val="24"/>
              </w:rPr>
              <w:t>8</w:t>
            </w:r>
          </w:p>
        </w:tc>
        <w:tc>
          <w:tcPr>
            <w:tcW w:type="dxa" w:w="4752"/>
            <w:vAlign w:val="center"/>
          </w:tcPr>
          <w:p>
            <w:pPr>
              <w:spacing w:after="20" w:line="240" w:lineRule="auto"/>
            </w:pPr>
            <w:r/>
            <w:r>
              <w:rPr>
                <w:rFonts w:ascii="Times New Roman" w:hAnsi="Times New Roman" w:eastAsia="Times New Roman"/>
                <w:b w:val="0"/>
                <w:i w:val="0"/>
                <w:color w:val="000000"/>
                <w:sz w:val="24"/>
              </w:rPr>
              <w:t>Consider WhatsApp/SMS confirmations, Punjabi/English support, analytics, lead scoring, and follow-up campaigns.</w:t>
            </w:r>
          </w:p>
        </w:tc>
        <w:tc>
          <w:tcPr>
            <w:tcW w:type="dxa" w:w="4032"/>
            <w:vAlign w:val="center"/>
          </w:tcPr>
          <w:p>
            <w:pPr>
              <w:spacing w:after="20" w:line="240" w:lineRule="auto"/>
            </w:pPr>
            <w:r/>
            <w:r>
              <w:rPr>
                <w:rFonts w:ascii="Times New Roman" w:hAnsi="Times New Roman" w:eastAsia="Times New Roman"/>
                <w:b w:val="0"/>
                <w:i w:val="0"/>
                <w:color w:val="000000"/>
                <w:sz w:val="24"/>
              </w:rPr>
              <w:t>Expand customer channels and sales insight.</w:t>
            </w:r>
          </w:p>
        </w:tc>
      </w:tr>
    </w:tbl>
    <w:p>
      <w:pPr>
        <w:spacing w:after="20"/>
      </w:pPr>
    </w:p>
    <w:p>
      <w:pPr>
        <w:pStyle w:val="Heading1"/>
      </w:pPr>
      <w:r>
        <w:rPr>
          <w:rFonts w:ascii="Times New Roman" w:hAnsi="Times New Roman" w:eastAsia="Times New Roman"/>
          <w:b/>
          <w:i w:val="0"/>
          <w:color w:val="000000"/>
          <w:sz w:val="24"/>
        </w:rPr>
        <w:t>Stakeholder Conclusion</w:t>
      </w:r>
    </w:p>
    <w:p>
      <w:r>
        <w:rPr>
          <w:rFonts w:ascii="Times New Roman" w:hAnsi="Times New Roman" w:eastAsia="Times New Roman"/>
          <w:b w:val="0"/>
          <w:i w:val="0"/>
          <w:color w:val="000000"/>
          <w:sz w:val="24"/>
        </w:rPr>
        <w:t>The project demonstrates an integrated browser voice/text experience with property recommendations, FAQ retrieval, multi-turn preference handling, Docker packaging, and Calendar/email workflow activity. The evaluation includes both positive live observations and a booking confirmation mismatch. The next release should prioritize access control, trustworthy appointment confirmation, and repeatable evaluation before extending the product to telephone traffic or additional customer channels.</w:t>
      </w:r>
    </w:p>
    <w:sectPr w:rsidR="00FC693F" w:rsidRPr="0006063C" w:rsidSect="00034616">
      <w:headerReference w:type="default" r:id="rId9"/>
      <w:footerReference w:type="default" r:id="rId10"/>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Report for Stakeholders</dc:title>
  <dc:subject>Objectives, architecture, evaluation, limitations, and roadmap</dc:subject>
  <dc:creator/>
  <cp:keywords>executive report, real estate voice agent, evaluation, roadmap</cp:keywords>
  <dc:description>generated by python-docx</dc:description>
  <cp:lastModifiedBy/>
  <cp:revision>1</cp:revision>
  <dcterms:created xsi:type="dcterms:W3CDTF">2013-12-23T23:15:00Z</dcterms:created>
  <dcterms:modified xsi:type="dcterms:W3CDTF">2013-12-23T23:15:00Z</dcterms:modified>
  <cp:category/>
</cp:coreProperties>
</file>