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4"/>
        </w:rPr>
        <w:t>Docker Deployment and Environment Configuration</w:t>
      </w:r>
    </w:p>
    <w:p>
      <w:pPr>
        <w:pStyle w:val="Subtitle"/>
        <w:jc w:val="center"/>
      </w:pPr>
      <w:r>
        <w:rPr>
          <w:rFonts w:ascii="Times New Roman" w:hAnsi="Times New Roman" w:eastAsia="Times New Roman"/>
          <w:b w:val="0"/>
          <w:color w:val="000000"/>
          <w:sz w:val="24"/>
        </w:rPr>
        <w:t>Uzma Real Estate Voice Agent</w:t>
      </w:r>
    </w:p>
    <w:p>
      <w:r>
        <w:rPr>
          <w:rFonts w:ascii="Times New Roman" w:hAnsi="Times New Roman" w:eastAsia="Times New Roman"/>
          <w:b w:val="0"/>
          <w:color w:val="000000"/>
          <w:sz w:val="24"/>
        </w:rPr>
        <w:t>This guide describes the project’s Docker Compose deployment, the settings used by the backend and frontend, and the persistent application data. The project images were built; the backend reported Healthy and the frontend container started in the deployment output.</w:t>
      </w:r>
    </w:p>
    <w:p>
      <w:pPr>
        <w:pStyle w:val="Heading1"/>
      </w:pPr>
      <w:r>
        <w:rPr>
          <w:rFonts w:ascii="Times New Roman" w:hAnsi="Times New Roman" w:eastAsia="Times New Roman"/>
          <w:b/>
          <w:color w:val="000000"/>
          <w:sz w:val="24"/>
        </w:rPr>
        <w:t>Container Setup</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1944"/>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Service</w:t>
            </w:r>
          </w:p>
        </w:tc>
        <w:tc>
          <w:tcPr>
            <w:tcW w:type="dxa" w:w="8136"/>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Container configuration</w:t>
            </w:r>
          </w:p>
        </w:tc>
      </w:tr>
      <w:tr>
        <w:trPr>
          <w:cantSplit/>
        </w:trPr>
        <w:tc>
          <w:tcPr>
            <w:tcW w:type="dxa" w:w="19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Backend</w:t>
            </w:r>
          </w:p>
        </w:tc>
        <w:tc>
          <w:tcPr>
            <w:tcW w:type="dxa" w:w="81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FastAPI application served by Uvicorn on container port 8000. Compose publishes it to 127.0.0.1:8000 by default and checks /health.</w:t>
            </w:r>
          </w:p>
        </w:tc>
      </w:tr>
      <w:tr>
        <w:trPr>
          <w:cantSplit/>
        </w:trPr>
        <w:tc>
          <w:tcPr>
            <w:tcW w:type="dxa" w:w="19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Frontend</w:t>
            </w:r>
          </w:p>
        </w:tc>
        <w:tc>
          <w:tcPr>
            <w:tcW w:type="dxa" w:w="81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Streamlit interface on container port 8501. It connects to the backend through the Compose service name at http://backend:8000.</w:t>
            </w:r>
          </w:p>
        </w:tc>
      </w:tr>
      <w:tr>
        <w:trPr>
          <w:cantSplit/>
        </w:trPr>
        <w:tc>
          <w:tcPr>
            <w:tcW w:type="dxa" w:w="19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Shared image</w:t>
            </w:r>
          </w:p>
        </w:tc>
        <w:tc>
          <w:tcPr>
            <w:tcW w:type="dxa" w:w="81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Both services build from the project Dockerfile. The image uses python:3.12-slim and installs dependencies from requirements.txt.</w:t>
            </w:r>
          </w:p>
        </w:tc>
      </w:tr>
      <w:tr>
        <w:trPr>
          <w:cantSplit/>
        </w:trPr>
        <w:tc>
          <w:tcPr>
            <w:tcW w:type="dxa" w:w="19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Persistent state</w:t>
            </w:r>
          </w:p>
        </w:tc>
        <w:tc>
          <w:tcPr>
            <w:tcW w:type="dxa" w:w="81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The named uzma_state volume is mounted at /app/state for vector data, visit and CRM databases, generated audio, application logs, and the refreshed Calendar token.</w:t>
            </w:r>
          </w:p>
        </w:tc>
      </w:tr>
    </w:tbl>
    <w:p>
      <w:pPr>
        <w:spacing w:after="20"/>
      </w:pPr>
    </w:p>
    <w:p>
      <w:r>
        <w:rPr>
          <w:rFonts w:ascii="Times New Roman" w:hAnsi="Times New Roman" w:eastAsia="Times New Roman"/>
          <w:b w:val="0"/>
          <w:color w:val="000000"/>
          <w:sz w:val="24"/>
        </w:rPr>
        <w:t>The Docker image creates a dedicated uzma user and runs the application as that non-root user. During image build, the Chroma MiniLM ONNX model is fetched with retry and resume options and checked against a SHA-256 value before extraction. This places the embedding model in the image cache before the first request.</w:t>
      </w:r>
    </w:p>
    <w:p>
      <w:pPr>
        <w:pStyle w:val="Heading1"/>
      </w:pPr>
      <w:r>
        <w:rPr>
          <w:rFonts w:ascii="Times New Roman" w:hAnsi="Times New Roman" w:eastAsia="Times New Roman"/>
          <w:b/>
          <w:color w:val="000000"/>
          <w:sz w:val="24"/>
        </w:rPr>
        <w:t>Environment File</w:t>
      </w:r>
    </w:p>
    <w:p>
      <w:r>
        <w:rPr>
          <w:rFonts w:ascii="Times New Roman" w:hAnsi="Times New Roman" w:eastAsia="Times New Roman"/>
          <w:b w:val="0"/>
          <w:color w:val="000000"/>
          <w:sz w:val="24"/>
        </w:rPr>
        <w:t>Docker Compose reads the root .env file for variable substitution and loads it into both service environments. Keep this file local and fill in only the credentials for the accounts used by the deployment. The project ignore files exclude .env, OAuth files, databases, logs, generated audio, and local Chroma data from the image build context and Git ignore tracking rules.</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520"/>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Variable</w:t>
            </w:r>
          </w:p>
        </w:tc>
        <w:tc>
          <w:tcPr>
            <w:tcW w:type="dxa" w:w="7560"/>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Purpose and configuration</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OLLAMA_API_KEY</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Required by the agent to call the configured Ollama model service.</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OLLAMA_BASE_URL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Ollama-compatible API endpoint; the application default is https://ollama.com/v1.</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OLLAMA_MODEL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Model name; the application default is gemma4:31b.</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DEEPGRAM_API_KEY</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Credential used by the FastAPI voice endpoint for Urdu speech transcription.</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BUSINESS_EMAIL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Configured notification inbox: mehro173@gmail.com. Employee assignment records currently use this address.</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SENDER_EMAIL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SMTP account address used to send internal notification emails.</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SENDER_PASSWORD</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SMTP account credential. Keep the value private; use an app password for Gmail SMTP.</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520"/>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Variable</w:t>
            </w:r>
          </w:p>
        </w:tc>
        <w:tc>
          <w:tcPr>
            <w:tcW w:type="dxa" w:w="7560"/>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Purpose and configuration</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N8N_WEBHOOK_URL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Fallback n8n webhook endpoint used by the backend when the Docker-specific URL is not set.</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N8N_DOCKER_WEBHOOK_URL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Compose-specific webhook URL; when set, Compose passes this URL to the backend as N8N_WEBHOOK_URL.</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N8N_WEBHOOK_AUTH_TOKEN</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Shared webhook authentication token sent in the X-Uzma-Webhook-Token request header.</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GOOGLE_TOKEN_FILE</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Host path for the Google Calendar OAuth token file. Compose default: ./token.json.</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BACKEND_PORT</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Host port for FastAPI; default 8000, bound to localhost.</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STREAMLIT_PORT</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Host port for Streamlit; default 8501, bound to localhost.</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PUBLIC_BASE_URL</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Base address used when the backend builds browser-accessible audio URLs; default http://localhost:8000.</w:t>
            </w:r>
          </w:p>
        </w:tc>
      </w:tr>
      <w:tr>
        <w:trPr>
          <w:cantSplit/>
        </w:trPr>
        <w:tc>
          <w:tcPr>
            <w:tcW w:type="dxa" w:w="252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CORS_ORIGINS</w:t>
            </w:r>
          </w:p>
        </w:tc>
        <w:tc>
          <w:tcPr>
            <w:tcW w:type="dxa" w:w="7560"/>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Comma-separated browser origins accepted by FastAPI; default http://localhost:8501.</w:t>
            </w:r>
          </w:p>
        </w:tc>
      </w:tr>
    </w:tbl>
    <w:p>
      <w:pPr>
        <w:spacing w:after="20"/>
      </w:pPr>
    </w:p>
    <w:p>
      <w:pPr>
        <w:pStyle w:val="Heading1"/>
      </w:pPr>
      <w:r>
        <w:rPr>
          <w:rFonts w:ascii="Times New Roman" w:hAnsi="Times New Roman" w:eastAsia="Times New Roman"/>
          <w:b/>
          <w:color w:val="000000"/>
          <w:sz w:val="24"/>
        </w:rPr>
        <w:t>Google Calendar Token Handling</w:t>
      </w:r>
    </w:p>
    <w:p>
      <w:r>
        <w:rPr>
          <w:rFonts w:ascii="Times New Roman" w:hAnsi="Times New Roman" w:eastAsia="Times New Roman"/>
          <w:b w:val="0"/>
          <w:color w:val="000000"/>
          <w:sz w:val="24"/>
        </w:rPr>
        <w:t>Compose defines token.json as a file-backed secret named google_calendar_token and mounts it at /run/secrets/google_calendar_token. The backend receives GOOGLE_TOKEN_SECRET_PATH for that mount and GOOGLE_TOKEN_PATH=/app/state/google_token.json. On startup, the Calendar integration copies the mounted token into the persistent state volume when needed, restricts its file permissions where supported, and refreshes it when the OAuth credential permits. Keep credentials.json and token.json out of source control and do not place their contents in this guide.</w:t>
      </w:r>
    </w:p>
    <w:p>
      <w:pPr>
        <w:pStyle w:val="Heading1"/>
      </w:pPr>
      <w:r>
        <w:rPr>
          <w:rFonts w:ascii="Times New Roman" w:hAnsi="Times New Roman" w:eastAsia="Times New Roman"/>
          <w:b/>
          <w:color w:val="000000"/>
          <w:sz w:val="24"/>
        </w:rPr>
        <w:t>Application State Paths</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3744"/>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Container path or setting</w:t>
            </w:r>
          </w:p>
        </w:tc>
        <w:tc>
          <w:tcPr>
            <w:tcW w:type="dxa" w:w="6336"/>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Stored data</w:t>
            </w:r>
          </w:p>
        </w:tc>
      </w:tr>
      <w:tr>
        <w:trPr>
          <w:cantSplit/>
        </w:trPr>
        <w:tc>
          <w:tcPr>
            <w:tcW w:type="dxa" w:w="37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/app/state/chroma_db</w:t>
            </w:r>
          </w:p>
        </w:tc>
        <w:tc>
          <w:tcPr>
            <w:tcW w:type="dxa" w:w="63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Chroma vector database persistence.</w:t>
            </w:r>
          </w:p>
        </w:tc>
      </w:tr>
      <w:tr>
        <w:trPr>
          <w:cantSplit/>
        </w:trPr>
        <w:tc>
          <w:tcPr>
            <w:tcW w:type="dxa" w:w="37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/app/state/visits.db</w:t>
            </w:r>
          </w:p>
        </w:tc>
        <w:tc>
          <w:tcPr>
            <w:tcW w:type="dxa" w:w="63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Visit scheduling records.</w:t>
            </w:r>
          </w:p>
        </w:tc>
      </w:tr>
      <w:tr>
        <w:trPr>
          <w:cantSplit/>
        </w:trPr>
        <w:tc>
          <w:tcPr>
            <w:tcW w:type="dxa" w:w="37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/app/state/crm_store.db</w:t>
            </w:r>
          </w:p>
        </w:tc>
        <w:tc>
          <w:tcPr>
            <w:tcW w:type="dxa" w:w="63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CRM and appointment history records.</w:t>
            </w:r>
          </w:p>
        </w:tc>
      </w:tr>
      <w:tr>
        <w:trPr>
          <w:cantSplit/>
        </w:trPr>
        <w:tc>
          <w:tcPr>
            <w:tcW w:type="dxa" w:w="37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/app/state/legacy_visits.db</w:t>
            </w:r>
          </w:p>
        </w:tc>
        <w:tc>
          <w:tcPr>
            <w:tcW w:type="dxa" w:w="63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Legacy visits API database path.</w:t>
            </w:r>
          </w:p>
        </w:tc>
      </w:tr>
      <w:tr>
        <w:trPr>
          <w:cantSplit/>
        </w:trPr>
        <w:tc>
          <w:tcPr>
            <w:tcW w:type="dxa" w:w="37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/app/state/audio_output</w:t>
            </w:r>
          </w:p>
        </w:tc>
        <w:tc>
          <w:tcPr>
            <w:tcW w:type="dxa" w:w="63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Generated voice response files.</w:t>
            </w:r>
          </w:p>
        </w:tc>
      </w:tr>
      <w:tr>
        <w:trPr>
          <w:cantSplit/>
        </w:trPr>
        <w:tc>
          <w:tcPr>
            <w:tcW w:type="dxa" w:w="3744"/>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/app/state/conversation_audit.log</w:t>
            </w:r>
          </w:p>
        </w:tc>
        <w:tc>
          <w:tcPr>
            <w:tcW w:type="dxa" w:w="6336"/>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Conversation audit log.</w:t>
            </w:r>
          </w:p>
        </w:tc>
      </w:tr>
    </w:tbl>
    <w:p>
      <w:pPr>
        <w:spacing w:after="20"/>
      </w:pPr>
    </w:p>
    <w:p>
      <w:r>
        <w:rPr>
          <w:rFonts w:ascii="Times New Roman" w:hAnsi="Times New Roman" w:eastAsia="Times New Roman"/>
          <w:b w:val="0"/>
          <w:color w:val="000000"/>
          <w:sz w:val="24"/>
        </w:rPr>
        <w:t>The volume preserves these files when containers are recreated. Removing the Compose volume also removes persisted state.</w:t>
      </w:r>
    </w:p>
    <w:p>
      <w:pPr>
        <w:pStyle w:val="Heading1"/>
      </w:pPr>
      <w:r>
        <w:rPr>
          <w:rFonts w:ascii="Times New Roman" w:hAnsi="Times New Roman" w:eastAsia="Times New Roman"/>
          <w:b/>
          <w:color w:val="000000"/>
          <w:sz w:val="24"/>
        </w:rPr>
        <w:t>Health and Container Controls</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592"/>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Control</w:t>
            </w:r>
          </w:p>
        </w:tc>
        <w:tc>
          <w:tcPr>
            <w:tcW w:type="dxa" w:w="7488"/>
            <w:vAlign w:val="center"/>
            <w:shd w:fill="EAEAEA"/>
          </w:tcPr>
          <w:p>
            <w:pPr>
              <w:spacing w:after="40"/>
            </w:pPr>
            <w:r>
              <w:rPr>
                <w:rFonts w:ascii="Times New Roman" w:hAnsi="Times New Roman" w:eastAsia="Times New Roman"/>
                <w:b w:val="0"/>
                <w:color w:val="000000"/>
                <w:sz w:val="24"/>
              </w:rPr>
            </w:r>
            <w:r>
              <w:rPr>
                <w:rFonts w:ascii="Times New Roman" w:hAnsi="Times New Roman" w:eastAsia="Times New Roman"/>
                <w:b/>
                <w:color w:val="000000"/>
                <w:sz w:val="24"/>
              </w:rPr>
              <w:t>Configured behavior</w:t>
            </w:r>
          </w:p>
        </w:tc>
      </w:tr>
      <w:tr>
        <w:trPr>
          <w:cantSplit/>
        </w:trPr>
        <w:tc>
          <w:tcPr>
            <w:tcW w:type="dxa" w:w="2592"/>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Restart policy</w:t>
            </w:r>
          </w:p>
        </w:tc>
        <w:tc>
          <w:tcPr>
            <w:tcW w:type="dxa" w:w="7488"/>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Both services use unless-stopped.</w:t>
            </w:r>
          </w:p>
        </w:tc>
      </w:tr>
      <w:tr>
        <w:trPr>
          <w:cantSplit/>
        </w:trPr>
        <w:tc>
          <w:tcPr>
            <w:tcW w:type="dxa" w:w="2592"/>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Backend health check</w:t>
            </w:r>
          </w:p>
        </w:tc>
        <w:tc>
          <w:tcPr>
            <w:tcW w:type="dxa" w:w="7488"/>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Requests /health every 30 seconds, with a 45-second startup grace period and three retries.</w:t>
            </w:r>
          </w:p>
        </w:tc>
      </w:tr>
      <w:tr>
        <w:trPr>
          <w:cantSplit/>
        </w:trPr>
        <w:tc>
          <w:tcPr>
            <w:tcW w:type="dxa" w:w="2592"/>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Frontend health check</w:t>
            </w:r>
          </w:p>
        </w:tc>
        <w:tc>
          <w:tcPr>
            <w:tcW w:type="dxa" w:w="7488"/>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Requests /_stcore/health every 30 seconds, with a 20-second startup grace period and three retries.</w:t>
            </w:r>
          </w:p>
        </w:tc>
      </w:tr>
      <w:tr>
        <w:trPr>
          <w:cantSplit/>
        </w:trPr>
        <w:tc>
          <w:tcPr>
            <w:tcW w:type="dxa" w:w="2592"/>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Container privileges</w:t>
            </w:r>
          </w:p>
        </w:tc>
        <w:tc>
          <w:tcPr>
            <w:tcW w:type="dxa" w:w="7488"/>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Both services set no-new-privileges and drop all Linux capabilities.</w:t>
            </w:r>
          </w:p>
        </w:tc>
      </w:tr>
      <w:tr>
        <w:trPr>
          <w:cantSplit/>
        </w:trPr>
        <w:tc>
          <w:tcPr>
            <w:tcW w:type="dxa" w:w="2592"/>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Log rotation</w:t>
            </w:r>
          </w:p>
        </w:tc>
        <w:tc>
          <w:tcPr>
            <w:tcW w:type="dxa" w:w="7488"/>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Docker JSON logs are limited to 10 MB per file and three retained files.</w:t>
            </w:r>
          </w:p>
        </w:tc>
      </w:tr>
      <w:tr>
        <w:trPr>
          <w:cantSplit/>
        </w:trPr>
        <w:tc>
          <w:tcPr>
            <w:tcW w:type="dxa" w:w="2592"/>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Service ordering</w:t>
            </w:r>
          </w:p>
        </w:tc>
        <w:tc>
          <w:tcPr>
            <w:tcW w:type="dxa" w:w="7488"/>
            <w:vAlign w:val="center"/>
          </w:tcPr>
          <w:p>
            <w:pPr>
              <w:spacing w:after="40" w:line="240" w:lineRule="auto"/>
            </w:pPr>
            <w:r>
              <w:rPr>
                <w:rFonts w:ascii="Times New Roman" w:hAnsi="Times New Roman" w:eastAsia="Times New Roman"/>
                <w:b w:val="0"/>
                <w:color w:val="000000"/>
                <w:sz w:val="24"/>
              </w:rPr>
            </w:r>
            <w:r>
              <w:rPr>
                <w:rFonts w:ascii="Times New Roman" w:hAnsi="Times New Roman" w:eastAsia="Times New Roman"/>
                <w:b w:val="0"/>
                <w:color w:val="000000"/>
                <w:sz w:val="24"/>
              </w:rPr>
              <w:t>Streamlit starts after the backend reports healthy.</w:t>
            </w:r>
          </w:p>
        </w:tc>
      </w:tr>
    </w:tbl>
    <w:p>
      <w:pPr>
        <w:spacing w:after="20"/>
      </w:pPr>
    </w:p>
    <w:p>
      <w:pPr>
        <w:pStyle w:val="Heading1"/>
      </w:pPr>
      <w:r>
        <w:rPr>
          <w:rFonts w:ascii="Times New Roman" w:hAnsi="Times New Roman" w:eastAsia="Times New Roman"/>
          <w:b/>
          <w:color w:val="000000"/>
          <w:sz w:val="24"/>
        </w:rPr>
        <w:t>Local Deployment Commands</w:t>
      </w:r>
    </w:p>
    <w:p>
      <w:r>
        <w:rPr>
          <w:rFonts w:ascii="Times New Roman" w:hAnsi="Times New Roman" w:eastAsia="Times New Roman"/>
          <w:b w:val="0"/>
          <w:color w:val="000000"/>
          <w:sz w:val="24"/>
        </w:rPr>
        <w:t>Run these commands from the project root in PowerShell. The .env file must already contain the settings and account credentials for the services being used.</w:t>
      </w:r>
    </w:p>
    <w:p>
      <w:pPr>
        <w:ind w:left="360"/>
      </w:pPr>
      <w:r>
        <w:rPr>
          <w:rFonts w:ascii="Times New Roman" w:hAnsi="Times New Roman" w:eastAsia="Times New Roman"/>
          <w:b w:val="0"/>
          <w:color w:val="000000"/>
          <w:sz w:val="24"/>
        </w:rPr>
        <w:t>docker compose --env-file .env up --build -d</w:t>
      </w:r>
    </w:p>
    <w:p>
      <w:pPr>
        <w:ind w:left="360"/>
      </w:pPr>
      <w:r>
        <w:rPr>
          <w:rFonts w:ascii="Times New Roman" w:hAnsi="Times New Roman" w:eastAsia="Times New Roman"/>
          <w:b w:val="0"/>
          <w:color w:val="000000"/>
          <w:sz w:val="24"/>
        </w:rPr>
        <w:t>docker compose ps</w:t>
      </w:r>
    </w:p>
    <w:p>
      <w:pPr>
        <w:ind w:left="360"/>
      </w:pPr>
      <w:r>
        <w:rPr>
          <w:rFonts w:ascii="Times New Roman" w:hAnsi="Times New Roman" w:eastAsia="Times New Roman"/>
          <w:b w:val="0"/>
          <w:color w:val="000000"/>
          <w:sz w:val="24"/>
        </w:rPr>
        <w:t>docker compose logs --tail=100 backend frontend</w:t>
      </w:r>
    </w:p>
    <w:p>
      <w:r>
        <w:rPr>
          <w:rFonts w:ascii="Times New Roman" w:hAnsi="Times New Roman" w:eastAsia="Times New Roman"/>
          <w:b w:val="0"/>
          <w:color w:val="000000"/>
          <w:sz w:val="24"/>
        </w:rPr>
        <w:t>Open the Streamlit interface at http://localhost:8501. The backend health endpoint is available locally at http://localhost:8000/health. Stop the containers with docker compose down; this preserves the named state volume. The Compose port bindings keep both interfaces on the local machine by default.</w:t>
      </w:r>
    </w:p>
    <w:sectPr w:rsidR="00FC693F" w:rsidRPr="0006063C" w:rsidSect="00034616">
      <w:headerReference w:type="default" r:id="rId9"/>
      <w:footerReference w:type="default" r:id="rId10"/>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Deployment and Environment Configuration</dc:title>
  <dc:subject>Docker Compose deployment and environment settings</dc:subject>
  <dc:creator/>
  <cp:keywords>Docker, Compose, environment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