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Assisted Data Center Infrastructure Monitoring and Predictive Maintenance System</w:t>
      </w:r>
    </w:p>
    <w:p>
      <w:pPr>
        <w:jc w:val="center"/>
      </w:pPr>
      <w:r>
        <w:t>System Integration Performance Evaluation and Deployment Planning</w:t>
      </w:r>
    </w:p>
    <w:p>
      <w:pPr>
        <w:jc w:val="center"/>
      </w:pPr>
      <w:r>
        <w:t>Zakir H.</w:t>
      </w:r>
    </w:p>
    <w:p>
      <w:pPr>
        <w:jc w:val="center"/>
      </w:pPr>
      <w:r>
        <w:t>University of the People</w:t>
      </w:r>
    </w:p>
    <w:p>
      <w:pPr>
        <w:jc w:val="center"/>
      </w:pPr>
      <w:r>
        <w:t>Master of Science in Information Technology</w:t>
      </w:r>
    </w:p>
    <w:p>
      <w:pPr>
        <w:jc w:val="center"/>
      </w:pPr>
      <w:r>
        <w:t>MSIT 5910 Capstone Project</w:t>
      </w:r>
    </w:p>
    <w:p>
      <w:pPr>
        <w:jc w:val="center"/>
      </w:pPr>
      <w:r>
        <w:t>Submitted to the MSIT 5910 Course Instructor</w:t>
      </w:r>
    </w:p>
    <w:p>
      <w:pPr>
        <w:jc w:val="center"/>
      </w:pPr>
      <w:r>
        <w:t>October 12, 2026</w:t>
      </w:r>
    </w:p>
    <w:p>
      <w:r>
        <w:br w:type="page"/>
      </w:r>
    </w:p>
    <w:p>
      <w:pPr>
        <w:pStyle w:val="Heading2"/>
      </w:pPr>
      <w:r>
        <w:t>Introduction</w:t>
      </w:r>
    </w:p>
    <w:p>
      <w:pPr>
        <w:pStyle w:val="Heading2"/>
      </w:pPr>
      <w:r>
        <w:t>Purpose and Research Question</w:t>
      </w:r>
    </w:p>
    <w:p>
      <w:r>
        <w:t>The AI Assisted Data Center Infrastructure Monitoring and Predictive Maintenance System now integrates a browser interface, authenticated API, reusable detection service, and SQLite persistence. Building on Units 4 and 5, it asks how effectively transparent thresholds and Isolation Forest identify abnormal synthetic telemetry while supporting technician investigation. The integrated workflow operates locally; failure forecasting and operational effectiveness remain unproven. Engineering evidence connects implementation, testing, and configuration control (Summers, 2020).</w:t>
      </w:r>
    </w:p>
    <w:p>
      <w:pPr>
        <w:pStyle w:val="Heading1"/>
      </w:pPr>
      <w:r>
        <w:t>Part A: System Integration &amp; Feature Completion</w:t>
      </w:r>
    </w:p>
    <w:p>
      <w:pPr>
        <w:pStyle w:val="Heading2"/>
      </w:pPr>
      <w:r>
        <w:t>Architecture and Module Responsibilities</w:t>
      </w:r>
    </w:p>
    <w:p>
      <w:r>
        <w:t>Figure 1 maps the implemented architecture. The generator creates 12,000 observations using seed 5910. Validation checks six finite numeric readings against declared bounds. The baseline compares five readings with versioned thresholds. Isolation Forest uses six features, 200 trees, contamination 0.08, and the same seed. Training and scaling use only 9,600 development observations; evaluation uses the remaining 2,400. The service fits once at startup, exposes both predictions, and keeps the forest experimental. Anomaly identification does not establish impending failure (Ruff et al., 2021).</w:t>
      </w:r>
    </w:p>
    <w:p>
      <w:pPr>
        <w:pStyle w:val="Heading2"/>
      </w:pPr>
      <w:r>
        <w:t>Demonstrated Inputs and Outputs</w:t>
      </w:r>
    </w:p>
    <w:p>
      <w:r>
        <w:t>Figures 2-5 show source captures and actual browser outputs. The normal input contains CPU 50%, memory 60%, storage 70%, network 400 Mbps, device temperature 55°C, and environment temperature 24°C. It returns HTTP 201 and baseline label zero. Changing device temperature to 90°C returns label one and the explanation “temperature_c: 90 &gt;= 82.” The forest labels this hot example typical, visibly demonstrating disagreement. A negative CPU reading returns HTTP 400 and is not saved. Acknowledging the hot observation changes its stored status and creates an audit record; acknowledgement does not certify repair.</w:t>
      </w:r>
    </w:p>
    <w:p>
      <w:pPr>
        <w:pStyle w:val="Heading2"/>
      </w:pPr>
      <w:r>
        <w:t>Communication and Security</w:t>
      </w:r>
    </w:p>
    <w:p>
      <w:r>
        <w:t>The browser submits JSON through fetch to POST /api/analyze. The API checks authentication and the session CSRF token before validation and detection. Store.save uses parameterized SQL and commits before returning the observation identifier. GET /api/observations retrieves recent records; the acknowledgement endpoint updates only open alerts and records the actor atomically. Figure 3 documents these connections and checks. Password hashing, HttpOnly cookies, strict SameSite settings, request-size limits, and restrictive response headers support the local prototype. Single-user authentication, absent login throttling, and unencrypted SQLite constrain deployment.</w:t>
      </w:r>
    </w:p>
    <w:p>
      <w:pPr>
        <w:keepNext/>
      </w:pPr>
      <w:r>
        <w:rPr>
          <w:b/>
        </w:rPr>
        <w:t>Figure 1</w:t>
      </w:r>
    </w:p>
    <w:p>
      <w:pPr>
        <w:keepNext/>
      </w:pPr>
      <w:r>
        <w:rPr>
          <w:i/>
        </w:rPr>
        <w:t>Implemented system architecture</w:t>
      </w:r>
    </w:p>
    <w:p>
      <w:pPr>
        <w:keepNext/>
        <w:spacing w:line="240" w:lineRule="auto" w:after="120"/>
        <w:jc w:val="center"/>
      </w:pPr>
      <w:r>
        <w:drawing>
          <wp:inline xmlns:a="http://schemas.openxmlformats.org/drawingml/2006/main" xmlns:pic="http://schemas.openxmlformats.org/drawingml/2006/picture">
            <wp:extent cx="5943600" cy="4206380"/>
            <wp:docPr id="1" name="Picture 1"/>
            <wp:cNvGraphicFramePr>
              <a:graphicFrameLocks noChangeAspect="1"/>
            </wp:cNvGraphicFramePr>
            <a:graphic>
              <a:graphicData uri="http://schemas.openxmlformats.org/drawingml/2006/picture">
                <pic:pic>
                  <pic:nvPicPr>
                    <pic:cNvPr id="0" name="00.png"/>
                    <pic:cNvPicPr/>
                  </pic:nvPicPr>
                  <pic:blipFill>
                    <a:blip r:embed="rId10"/>
                    <a:stretch>
                      <a:fillRect/>
                    </a:stretch>
                  </pic:blipFill>
                  <pic:spPr>
                    <a:xfrm>
                      <a:off x="0" y="0"/>
                      <a:ext cx="5943600" cy="4206380"/>
                    </a:xfrm>
                    <a:prstGeom prst="rect"/>
                  </pic:spPr>
                </pic:pic>
              </a:graphicData>
            </a:graphic>
          </wp:inline>
        </w:drawing>
      </w:r>
    </w:p>
    <w:p>
      <w:r>
        <w:rPr>
          <w:i/>
        </w:rPr>
        <w:t xml:space="preserve">Note. </w:t>
      </w:r>
      <w:r>
        <w:t>The detection service fits the model on development data before requests are accepted. Analysis precedes storage; review updates the stored observation and audit.</w:t>
      </w:r>
    </w:p>
    <w:p>
      <w:pPr>
        <w:keepNext/>
      </w:pPr>
      <w:r>
        <w:rPr>
          <w:b/>
        </w:rPr>
        <w:t>Figure 2</w:t>
      </w:r>
    </w:p>
    <w:p>
      <w:pPr>
        <w:keepNext/>
      </w:pPr>
      <w:r>
        <w:rPr>
          <w:i/>
        </w:rPr>
        <w:t>Core module implementation</w:t>
      </w:r>
    </w:p>
    <w:p>
      <w:pPr>
        <w:keepNext w:val="0"/>
        <w:spacing w:line="240" w:lineRule="auto" w:after="120"/>
        <w:jc w:val="center"/>
      </w:pPr>
      <w:r>
        <w:drawing>
          <wp:inline xmlns:a="http://schemas.openxmlformats.org/drawingml/2006/main" xmlns:pic="http://schemas.openxmlformats.org/drawingml/2006/picture">
            <wp:extent cx="5943600" cy="3958017"/>
            <wp:docPr id="2" name="Picture 2"/>
            <wp:cNvGraphicFramePr>
              <a:graphicFrameLocks noChangeAspect="1"/>
            </wp:cNvGraphicFramePr>
            <a:graphic>
              <a:graphicData uri="http://schemas.openxmlformats.org/drawingml/2006/picture">
                <pic:pic>
                  <pic:nvPicPr>
                    <pic:cNvPr id="0" name="01.png"/>
                    <pic:cNvPicPr/>
                  </pic:nvPicPr>
                  <pic:blipFill>
                    <a:blip r:embed="rId11"/>
                    <a:stretch>
                      <a:fillRect/>
                    </a:stretch>
                  </pic:blipFill>
                  <pic:spPr>
                    <a:xfrm>
                      <a:off x="0" y="0"/>
                      <a:ext cx="5943600" cy="3958017"/>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991524"/>
            <wp:docPr id="3" name="Picture 3"/>
            <wp:cNvGraphicFramePr>
              <a:graphicFrameLocks noChangeAspect="1"/>
            </wp:cNvGraphicFramePr>
            <a:graphic>
              <a:graphicData uri="http://schemas.openxmlformats.org/drawingml/2006/picture">
                <pic:pic>
                  <pic:nvPicPr>
                    <pic:cNvPr id="0" name="02.png"/>
                    <pic:cNvPicPr/>
                  </pic:nvPicPr>
                  <pic:blipFill>
                    <a:blip r:embed="rId12"/>
                    <a:stretch>
                      <a:fillRect/>
                    </a:stretch>
                  </pic:blipFill>
                  <pic:spPr>
                    <a:xfrm>
                      <a:off x="0" y="0"/>
                      <a:ext cx="5943600" cy="2991524"/>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3958017"/>
            <wp:docPr id="4" name="Picture 4"/>
            <wp:cNvGraphicFramePr>
              <a:graphicFrameLocks noChangeAspect="1"/>
            </wp:cNvGraphicFramePr>
            <a:graphic>
              <a:graphicData uri="http://schemas.openxmlformats.org/drawingml/2006/picture">
                <pic:pic>
                  <pic:nvPicPr>
                    <pic:cNvPr id="0" name="03.png"/>
                    <pic:cNvPicPr/>
                  </pic:nvPicPr>
                  <pic:blipFill>
                    <a:blip r:embed="rId13"/>
                    <a:stretch>
                      <a:fillRect/>
                    </a:stretch>
                  </pic:blipFill>
                  <pic:spPr>
                    <a:xfrm>
                      <a:off x="0" y="0"/>
                      <a:ext cx="5943600" cy="3958017"/>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4953000"/>
            <wp:docPr id="5" name="Picture 5"/>
            <wp:cNvGraphicFramePr>
              <a:graphicFrameLocks noChangeAspect="1"/>
            </wp:cNvGraphicFramePr>
            <a:graphic>
              <a:graphicData uri="http://schemas.openxmlformats.org/drawingml/2006/picture">
                <pic:pic>
                  <pic:nvPicPr>
                    <pic:cNvPr id="0" name="07.png"/>
                    <pic:cNvPicPr/>
                  </pic:nvPicPr>
                  <pic:blipFill>
                    <a:blip r:embed="rId14"/>
                    <a:stretch>
                      <a:fillRect/>
                    </a:stretch>
                  </pic:blipFill>
                  <pic:spPr>
                    <a:xfrm>
                      <a:off x="0" y="0"/>
                      <a:ext cx="5943600" cy="4953000"/>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1854088"/>
            <wp:docPr id="6" name="Picture 6"/>
            <wp:cNvGraphicFramePr>
              <a:graphicFrameLocks noChangeAspect="1"/>
            </wp:cNvGraphicFramePr>
            <a:graphic>
              <a:graphicData uri="http://schemas.openxmlformats.org/drawingml/2006/picture">
                <pic:pic>
                  <pic:nvPicPr>
                    <pic:cNvPr id="0" name="06.png"/>
                    <pic:cNvPicPr/>
                  </pic:nvPicPr>
                  <pic:blipFill>
                    <a:blip r:embed="rId15"/>
                    <a:stretch>
                      <a:fillRect/>
                    </a:stretch>
                  </pic:blipFill>
                  <pic:spPr>
                    <a:xfrm>
                      <a:off x="0" y="0"/>
                      <a:ext cx="5943600" cy="1854088"/>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3502479"/>
            <wp:docPr id="7" name="Picture 7"/>
            <wp:cNvGraphicFramePr>
              <a:graphicFrameLocks noChangeAspect="1"/>
            </wp:cNvGraphicFramePr>
            <a:graphic>
              <a:graphicData uri="http://schemas.openxmlformats.org/drawingml/2006/picture">
                <pic:pic>
                  <pic:nvPicPr>
                    <pic:cNvPr id="0" name="04.png"/>
                    <pic:cNvPicPr/>
                  </pic:nvPicPr>
                  <pic:blipFill>
                    <a:blip r:embed="rId16"/>
                    <a:stretch>
                      <a:fillRect/>
                    </a:stretch>
                  </pic:blipFill>
                  <pic:spPr>
                    <a:xfrm>
                      <a:off x="0" y="0"/>
                      <a:ext cx="5943600" cy="3502479"/>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2687356"/>
            <wp:docPr id="8" name="Picture 8"/>
            <wp:cNvGraphicFramePr>
              <a:graphicFrameLocks noChangeAspect="1"/>
            </wp:cNvGraphicFramePr>
            <a:graphic>
              <a:graphicData uri="http://schemas.openxmlformats.org/drawingml/2006/picture">
                <pic:pic>
                  <pic:nvPicPr>
                    <pic:cNvPr id="0" name="05.png"/>
                    <pic:cNvPicPr/>
                  </pic:nvPicPr>
                  <pic:blipFill>
                    <a:blip r:embed="rId17"/>
                    <a:stretch>
                      <a:fillRect/>
                    </a:stretch>
                  </pic:blipFill>
                  <pic:spPr>
                    <a:xfrm>
                      <a:off x="0" y="0"/>
                      <a:ext cx="5943600" cy="2687356"/>
                    </a:xfrm>
                    <a:prstGeom prst="rect"/>
                  </pic:spPr>
                </pic:pic>
              </a:graphicData>
            </a:graphic>
          </wp:inline>
        </w:drawing>
      </w:r>
    </w:p>
    <w:p>
      <w:r>
        <w:rPr>
          <w:i/>
        </w:rPr>
        <w:t xml:space="preserve">Note. </w:t>
      </w:r>
      <w:r>
        <w:t>Source excerpts show data generation, validation, the baseline, forest fitting and label mapping, comparable evaluation, and the reusable detection service. All model fitting uses the development partition.</w:t>
      </w:r>
    </w:p>
    <w:p>
      <w:pPr>
        <w:keepNext/>
      </w:pPr>
      <w:r>
        <w:rPr>
          <w:b/>
        </w:rPr>
        <w:t>Figure 3</w:t>
      </w:r>
    </w:p>
    <w:p>
      <w:pPr>
        <w:keepNext/>
      </w:pPr>
      <w:r>
        <w:rPr>
          <w:i/>
        </w:rPr>
        <w:t>API communication storage and detector outputs</w:t>
      </w:r>
    </w:p>
    <w:p>
      <w:pPr>
        <w:keepNext w:val="0"/>
        <w:spacing w:line="240" w:lineRule="auto" w:after="120"/>
        <w:jc w:val="center"/>
      </w:pPr>
      <w:r>
        <w:drawing>
          <wp:inline xmlns:a="http://schemas.openxmlformats.org/drawingml/2006/main" xmlns:pic="http://schemas.openxmlformats.org/drawingml/2006/picture">
            <wp:extent cx="5943600" cy="2143941"/>
            <wp:docPr id="9" name="Picture 9"/>
            <wp:cNvGraphicFramePr>
              <a:graphicFrameLocks noChangeAspect="1"/>
            </wp:cNvGraphicFramePr>
            <a:graphic>
              <a:graphicData uri="http://schemas.openxmlformats.org/drawingml/2006/picture">
                <pic:pic>
                  <pic:nvPicPr>
                    <pic:cNvPr id="0" name="08.png"/>
                    <pic:cNvPicPr/>
                  </pic:nvPicPr>
                  <pic:blipFill>
                    <a:blip r:embed="rId18"/>
                    <a:stretch>
                      <a:fillRect/>
                    </a:stretch>
                  </pic:blipFill>
                  <pic:spPr>
                    <a:xfrm>
                      <a:off x="0" y="0"/>
                      <a:ext cx="5943600" cy="2143941"/>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823210"/>
            <wp:docPr id="10" name="Picture 10"/>
            <wp:cNvGraphicFramePr>
              <a:graphicFrameLocks noChangeAspect="1"/>
            </wp:cNvGraphicFramePr>
            <a:graphic>
              <a:graphicData uri="http://schemas.openxmlformats.org/drawingml/2006/picture">
                <pic:pic>
                  <pic:nvPicPr>
                    <pic:cNvPr id="0" name="09.png"/>
                    <pic:cNvPicPr/>
                  </pic:nvPicPr>
                  <pic:blipFill>
                    <a:blip r:embed="rId19"/>
                    <a:stretch>
                      <a:fillRect/>
                    </a:stretch>
                  </pic:blipFill>
                  <pic:spPr>
                    <a:xfrm>
                      <a:off x="0" y="0"/>
                      <a:ext cx="5943600" cy="2823210"/>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4453455"/>
            <wp:docPr id="11" name="Picture 11"/>
            <wp:cNvGraphicFramePr>
              <a:graphicFrameLocks noChangeAspect="1"/>
            </wp:cNvGraphicFramePr>
            <a:graphic>
              <a:graphicData uri="http://schemas.openxmlformats.org/drawingml/2006/picture">
                <pic:pic>
                  <pic:nvPicPr>
                    <pic:cNvPr id="0" name="10.png"/>
                    <pic:cNvPicPr/>
                  </pic:nvPicPr>
                  <pic:blipFill>
                    <a:blip r:embed="rId20"/>
                    <a:stretch>
                      <a:fillRect/>
                    </a:stretch>
                  </pic:blipFill>
                  <pic:spPr>
                    <a:xfrm>
                      <a:off x="0" y="0"/>
                      <a:ext cx="5943600" cy="4453455"/>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415649"/>
            <wp:docPr id="12" name="Picture 12"/>
            <wp:cNvGraphicFramePr>
              <a:graphicFrameLocks noChangeAspect="1"/>
            </wp:cNvGraphicFramePr>
            <a:graphic>
              <a:graphicData uri="http://schemas.openxmlformats.org/drawingml/2006/picture">
                <pic:pic>
                  <pic:nvPicPr>
                    <pic:cNvPr id="0" name="12.png"/>
                    <pic:cNvPicPr/>
                  </pic:nvPicPr>
                  <pic:blipFill>
                    <a:blip r:embed="rId21"/>
                    <a:stretch>
                      <a:fillRect/>
                    </a:stretch>
                  </pic:blipFill>
                  <pic:spPr>
                    <a:xfrm>
                      <a:off x="0" y="0"/>
                      <a:ext cx="5943600" cy="2415649"/>
                    </a:xfrm>
                    <a:prstGeom prst="rect"/>
                  </pic:spPr>
                </pic:pic>
              </a:graphicData>
            </a:graphic>
          </wp:inline>
        </w:drawing>
      </w:r>
    </w:p>
    <w:p>
      <w:pPr>
        <w:keepNext w:val="0"/>
        <w:spacing w:line="240" w:lineRule="auto" w:after="120"/>
        <w:jc w:val="center"/>
      </w:pPr>
      <w:r>
        <w:drawing>
          <wp:inline xmlns:a="http://schemas.openxmlformats.org/drawingml/2006/main" xmlns:pic="http://schemas.openxmlformats.org/drawingml/2006/picture">
            <wp:extent cx="5943600" cy="2823210"/>
            <wp:docPr id="13" name="Picture 13"/>
            <wp:cNvGraphicFramePr>
              <a:graphicFrameLocks noChangeAspect="1"/>
            </wp:cNvGraphicFramePr>
            <a:graphic>
              <a:graphicData uri="http://schemas.openxmlformats.org/drawingml/2006/picture">
                <pic:pic>
                  <pic:nvPicPr>
                    <pic:cNvPr id="0" name="13.png"/>
                    <pic:cNvPicPr/>
                  </pic:nvPicPr>
                  <pic:blipFill>
                    <a:blip r:embed="rId22"/>
                    <a:stretch>
                      <a:fillRect/>
                    </a:stretch>
                  </pic:blipFill>
                  <pic:spPr>
                    <a:xfrm>
                      <a:off x="0" y="0"/>
                      <a:ext cx="5943600" cy="2823210"/>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4861016"/>
            <wp:docPr id="14" name="Picture 14"/>
            <wp:cNvGraphicFramePr>
              <a:graphicFrameLocks noChangeAspect="1"/>
            </wp:cNvGraphicFramePr>
            <a:graphic>
              <a:graphicData uri="http://schemas.openxmlformats.org/drawingml/2006/picture">
                <pic:pic>
                  <pic:nvPicPr>
                    <pic:cNvPr id="0" name="14.png"/>
                    <pic:cNvPicPr/>
                  </pic:nvPicPr>
                  <pic:blipFill>
                    <a:blip r:embed="rId23"/>
                    <a:stretch>
                      <a:fillRect/>
                    </a:stretch>
                  </pic:blipFill>
                  <pic:spPr>
                    <a:xfrm>
                      <a:off x="0" y="0"/>
                      <a:ext cx="5943600" cy="4861016"/>
                    </a:xfrm>
                    <a:prstGeom prst="rect"/>
                  </pic:spPr>
                </pic:pic>
              </a:graphicData>
            </a:graphic>
          </wp:inline>
        </w:drawing>
      </w:r>
    </w:p>
    <w:p>
      <w:r>
        <w:rPr>
          <w:i/>
        </w:rPr>
        <w:t xml:space="preserve">Note. </w:t>
      </w:r>
      <w:r>
        <w:t>The browser sends JSON to protected API routes. Analysis results are committed before HTTP 201 is returned. Acknowledgement updates status and inserts the audit entry in one transaction.</w:t>
      </w:r>
    </w:p>
    <w:p>
      <w:pPr>
        <w:keepNext/>
      </w:pPr>
      <w:r>
        <w:rPr>
          <w:b/>
        </w:rPr>
        <w:t>Figure 4</w:t>
      </w:r>
    </w:p>
    <w:p>
      <w:pPr>
        <w:keepNext/>
      </w:pPr>
      <w:r>
        <w:rPr>
          <w:i/>
        </w:rPr>
        <w:t>Normal telemetry submission</w:t>
      </w:r>
    </w:p>
    <w:p>
      <w:pPr>
        <w:keepNext/>
        <w:spacing w:line="240" w:lineRule="auto" w:after="120"/>
        <w:jc w:val="center"/>
      </w:pPr>
      <w:r>
        <w:drawing>
          <wp:inline xmlns:a="http://schemas.openxmlformats.org/drawingml/2006/main" xmlns:pic="http://schemas.openxmlformats.org/drawingml/2006/picture">
            <wp:extent cx="5943600" cy="5596890"/>
            <wp:docPr id="15" name="Picture 15"/>
            <wp:cNvGraphicFramePr>
              <a:graphicFrameLocks noChangeAspect="1"/>
            </wp:cNvGraphicFramePr>
            <a:graphic>
              <a:graphicData uri="http://schemas.openxmlformats.org/drawingml/2006/picture">
                <pic:pic>
                  <pic:nvPicPr>
                    <pic:cNvPr id="0" name="15.png"/>
                    <pic:cNvPicPr/>
                  </pic:nvPicPr>
                  <pic:blipFill>
                    <a:blip r:embed="rId24"/>
                    <a:stretch>
                      <a:fillRect/>
                    </a:stretch>
                  </pic:blipFill>
                  <pic:spPr>
                    <a:xfrm>
                      <a:off x="0" y="0"/>
                      <a:ext cx="5943600" cy="5596890"/>
                    </a:xfrm>
                    <a:prstGeom prst="rect"/>
                  </pic:spPr>
                </pic:pic>
              </a:graphicData>
            </a:graphic>
          </wp:inline>
        </w:drawing>
      </w:r>
    </w:p>
    <w:p>
      <w:r>
        <w:rPr>
          <w:i/>
        </w:rPr>
        <w:t xml:space="preserve">Note. </w:t>
      </w:r>
      <w:r>
        <w:t>Archived browser capture of the authenticated normal fixture. The saved observation has normal status. Current API and persistence results are recorded in Figure 8; browser rendering was not repeated.</w:t>
      </w:r>
    </w:p>
    <w:p>
      <w:pPr>
        <w:keepNext/>
      </w:pPr>
      <w:r>
        <w:rPr>
          <w:b/>
        </w:rPr>
        <w:t>Figure 5</w:t>
      </w:r>
    </w:p>
    <w:p>
      <w:pPr>
        <w:keepNext/>
      </w:pPr>
      <w:r>
        <w:rPr>
          <w:i/>
        </w:rPr>
        <w:t>Hot telemetry and acknowledgement</w:t>
      </w:r>
    </w:p>
    <w:p>
      <w:pPr>
        <w:keepNext w:val="0"/>
        <w:spacing w:line="240" w:lineRule="auto" w:after="120"/>
        <w:jc w:val="center"/>
      </w:pPr>
      <w:r>
        <w:drawing>
          <wp:inline xmlns:a="http://schemas.openxmlformats.org/drawingml/2006/main" xmlns:pic="http://schemas.openxmlformats.org/drawingml/2006/picture">
            <wp:extent cx="5943600" cy="5860018"/>
            <wp:docPr id="16" name="Picture 16"/>
            <wp:cNvGraphicFramePr>
              <a:graphicFrameLocks noChangeAspect="1"/>
            </wp:cNvGraphicFramePr>
            <a:graphic>
              <a:graphicData uri="http://schemas.openxmlformats.org/drawingml/2006/picture">
                <pic:pic>
                  <pic:nvPicPr>
                    <pic:cNvPr id="0" name="16.png"/>
                    <pic:cNvPicPr/>
                  </pic:nvPicPr>
                  <pic:blipFill>
                    <a:blip r:embed="rId25"/>
                    <a:stretch>
                      <a:fillRect/>
                    </a:stretch>
                  </pic:blipFill>
                  <pic:spPr>
                    <a:xfrm>
                      <a:off x="0" y="0"/>
                      <a:ext cx="5943600" cy="5860018"/>
                    </a:xfrm>
                    <a:prstGeom prst="rect"/>
                  </pic:spPr>
                </pic:pic>
              </a:graphicData>
            </a:graphic>
          </wp:inline>
        </w:drawing>
      </w:r>
    </w:p>
    <w:p>
      <w:pPr>
        <w:keepNext/>
        <w:spacing w:line="240" w:lineRule="auto" w:after="120"/>
        <w:jc w:val="center"/>
      </w:pPr>
      <w:r>
        <w:drawing>
          <wp:inline xmlns:a="http://schemas.openxmlformats.org/drawingml/2006/main" xmlns:pic="http://schemas.openxmlformats.org/drawingml/2006/picture">
            <wp:extent cx="5943600" cy="5791914"/>
            <wp:docPr id="17" name="Picture 17"/>
            <wp:cNvGraphicFramePr>
              <a:graphicFrameLocks noChangeAspect="1"/>
            </wp:cNvGraphicFramePr>
            <a:graphic>
              <a:graphicData uri="http://schemas.openxmlformats.org/drawingml/2006/picture">
                <pic:pic>
                  <pic:nvPicPr>
                    <pic:cNvPr id="0" name="17.png"/>
                    <pic:cNvPicPr/>
                  </pic:nvPicPr>
                  <pic:blipFill>
                    <a:blip r:embed="rId26"/>
                    <a:stretch>
                      <a:fillRect/>
                    </a:stretch>
                  </pic:blipFill>
                  <pic:spPr>
                    <a:xfrm>
                      <a:off x="0" y="0"/>
                      <a:ext cx="5943600" cy="5791914"/>
                    </a:xfrm>
                    <a:prstGeom prst="rect"/>
                  </pic:spPr>
                </pic:pic>
              </a:graphicData>
            </a:graphic>
          </wp:inline>
        </w:drawing>
      </w:r>
    </w:p>
    <w:p>
      <w:r>
        <w:rPr>
          <w:i/>
        </w:rPr>
        <w:t xml:space="preserve">Note. </w:t>
      </w:r>
      <w:r>
        <w:t>Archived browser captures before and after acknowledgement. Temperature 90°C exceeds the 82°C threshold while the forest calls the input typical. Acknowledgement records review for investigation.</w:t>
      </w:r>
    </w:p>
    <w:p>
      <w:pPr>
        <w:keepNext/>
      </w:pPr>
      <w:r>
        <w:rPr>
          <w:b/>
        </w:rPr>
        <w:t>Figure 6</w:t>
      </w:r>
    </w:p>
    <w:p>
      <w:pPr>
        <w:keepNext/>
      </w:pPr>
      <w:r>
        <w:rPr>
          <w:i/>
        </w:rPr>
        <w:t>Authentication screen</w:t>
      </w:r>
    </w:p>
    <w:p>
      <w:pPr>
        <w:keepNext/>
        <w:spacing w:line="240" w:lineRule="auto" w:after="120"/>
        <w:jc w:val="center"/>
      </w:pPr>
      <w:r>
        <w:drawing>
          <wp:inline xmlns:a="http://schemas.openxmlformats.org/drawingml/2006/main" xmlns:pic="http://schemas.openxmlformats.org/drawingml/2006/picture">
            <wp:extent cx="5943600" cy="5014912"/>
            <wp:docPr id="18" name="Picture 18"/>
            <wp:cNvGraphicFramePr>
              <a:graphicFrameLocks noChangeAspect="1"/>
            </wp:cNvGraphicFramePr>
            <a:graphic>
              <a:graphicData uri="http://schemas.openxmlformats.org/drawingml/2006/picture">
                <pic:pic>
                  <pic:nvPicPr>
                    <pic:cNvPr id="0" name="22.png"/>
                    <pic:cNvPicPr/>
                  </pic:nvPicPr>
                  <pic:blipFill>
                    <a:blip r:embed="rId27"/>
                    <a:stretch>
                      <a:fillRect/>
                    </a:stretch>
                  </pic:blipFill>
                  <pic:spPr>
                    <a:xfrm>
                      <a:off x="0" y="0"/>
                      <a:ext cx="5943600" cy="5014912"/>
                    </a:xfrm>
                    <a:prstGeom prst="rect"/>
                  </pic:spPr>
                </pic:pic>
              </a:graphicData>
            </a:graphic>
          </wp:inline>
        </w:drawing>
      </w:r>
    </w:p>
    <w:p>
      <w:r>
        <w:rPr>
          <w:i/>
        </w:rPr>
        <w:t xml:space="preserve">Note. </w:t>
      </w:r>
      <w:r>
        <w:t>Archived login screen for the local prototype. Figure 3 shows the implemented authentication and CSRF checks; no secret values are included.</w:t>
      </w:r>
    </w:p>
    <w:p>
      <w:pPr>
        <w:pStyle w:val="Heading1"/>
      </w:pPr>
      <w:r>
        <w:t>Part B: System Evaluation &amp; Metrics Reporting</w:t>
      </w:r>
    </w:p>
    <w:p>
      <w:pPr>
        <w:pStyle w:val="Heading2"/>
      </w:pPr>
      <w:r>
        <w:t>Quantitative Protocol and Findings</w:t>
      </w:r>
    </w:p>
    <w:p>
      <w:r>
        <w:t>Table 1 and Figure 7 report measured outcomes. Both detectors evaluate 174 injected anomalies and 2,226 normal records. The baseline produces 174 true positives, 19 false positives, zero false negatives, and 2,207 true negatives. Its precision is 0.902, recall 1.000, F1 0.948, and false-positive rate 0.0085. Isolation Forest produces 107, 82, 67, and 2,144 respectively: precision 0.566, recall 0.615, F1 0.590, and false-positive rate 0.0368. The baseline satisfies Unit 5 targets of F1 and recall at least 0.90 and false-positive rate below 0.02; the forest fails. Threshold-aligned synthetic labels favor the baseline, preventing claims of operational superiority. Benchmark diversity matters when assessing anomaly detectors (Han et al., 2022).</w:t>
      </w:r>
    </w:p>
    <w:p>
      <w:pPr>
        <w:pStyle w:val="Heading2"/>
      </w:pPr>
      <w:r>
        <w:t>Latency Throughput and Reliability</w:t>
      </w:r>
    </w:p>
    <w:p>
      <w:r>
        <w:t>Three serial batches of 100 authenticated loopback requests followed ten warmups under one Gunicorn worker. Measurements include validation, both predictions, and SQLite commit, excluding login, startup, and browser rendering. Median latency ranged 14.60–14.85 milliseconds, batch p95 ranged 18.57–22.80 milliseconds, and throughput ranged 63.27–66.00 requests per second; all 300 requests succeeded. Figures 8 and 9 show the recorded outputs. The suite passes 59 tests. Statement coverage is 278/283, or 98.23%; branch coverage is 55/58, or 94.83%. The combined score is 333/341, or 97.65%, displayed as 98%. Unit 5 combined 118/123 statements and 33/36 branches to obtain 151/159, or 94.97%, displayed as 95%. Uncovered command-line entry paths leave launch behavior and associated failure conditions incompletely tested. Successful smoke runs provide separate evidence but do not change the coverage denominator.</w:t>
      </w:r>
    </w:p>
    <w:p>
      <w:pPr>
        <w:pStyle w:val="Heading2"/>
      </w:pPr>
      <w:r>
        <w:t>Qualitative Interface Assessment</w:t>
      </w:r>
    </w:p>
    <w:p>
      <w:r>
        <w:t>A structured implementation walkthrough assessed clarity, feedback, and review semantics using normal submission, hot submission, and acknowledgement tasks. Screenshots show explicit units, readable breach reasons, visible experimental-model disagreement, saved identifiers, and persistent status changes. Terminology such as cpu_pct remains technical, and the latest-record table lacks pagination and filtering. These observations support formative interface assessment, not participant satisfaction or a System Usability Scale score. Numerical and descriptive evidence answer different evaluation questions (Brereton, 2023; Wells, 2025). GeeksforGeeks (2025) identifies usability alongside reliability and performance. Five-technician testing remains planned, with at least 80% task completion and SUS at least 70 as targets. Zhao et al. (2019) provide a scholarly open-source comparison framework; PyOD is not a dependency here.</w:t>
      </w:r>
    </w:p>
    <w:p>
      <w:pPr>
        <w:keepNext/>
      </w:pPr>
      <w:r>
        <w:rPr>
          <w:b/>
        </w:rPr>
        <w:t>Table 1</w:t>
      </w:r>
    </w:p>
    <w:p>
      <w:pPr>
        <w:keepNext/>
      </w:pPr>
      <w:r>
        <w:rPr>
          <w:i/>
        </w:rPr>
        <w:t>Detection results on the shared holdout</w:t>
      </w:r>
    </w:p>
    <w:tbl>
      <w:tblPr>
        <w:tblW w:type="auto" w:w="0"/>
        <w:tblLayout w:type="fixed"/>
        <w:tblLook w:firstColumn="1" w:firstRow="1" w:lastColumn="0" w:lastRow="0" w:noHBand="0" w:noVBand="1" w:val="04A0"/>
      </w:tblPr>
      <w:tblGrid>
        <w:gridCol w:w="1872"/>
        <w:gridCol w:w="1512"/>
        <w:gridCol w:w="1512"/>
        <w:gridCol w:w="4464"/>
      </w:tblGrid>
      <w:tr>
        <w:trPr>
          <w:cantSplit/>
          <w:tblHeader/>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Metric</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Threshold baseline</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Isolation Forest</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Interpretation</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Precision</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0.9016</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0.5661</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Baseline stronger on these fixtures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Recall</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1.0000</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0.6149</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Forest misses 67/174 injected anomalies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F1</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0.9482</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0.5895</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Target ≥ 0.90; forest fails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False positive rate</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0.0085</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0.0368</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Target &lt; 0.02; forest fails</w:t>
            </w:r>
          </w:p>
        </w:tc>
      </w:tr>
      <w:tr>
        <w:trPr>
          <w:cantSplit/>
        </w:trPr>
        <w:tc>
          <w:tcPr>
            <w:tcW w:type="dxa" w:w="18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TP / FP / FN / TN</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174 / 19 / 0 / 2,207</w:t>
            </w:r>
          </w:p>
        </w:tc>
        <w:tc>
          <w:tcPr>
            <w:tcW w:type="dxa" w:w="151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107 / 82 / 67 / 2,144</w:t>
            </w:r>
          </w:p>
        </w:tc>
        <w:tc>
          <w:tcPr>
            <w:tcW w:type="dxa" w:w="4464"/>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Same 2,400 held-out records</w:t>
            </w:r>
          </w:p>
        </w:tc>
      </w:tr>
    </w:tbl>
    <w:p/>
    <w:p>
      <w:pPr>
        <w:keepNext/>
      </w:pPr>
      <w:r>
        <w:rPr>
          <w:b/>
        </w:rPr>
        <w:t>Table 1 continued</w:t>
      </w:r>
    </w:p>
    <w:p>
      <w:pPr>
        <w:keepNext/>
      </w:pPr>
      <w:r>
        <w:rPr>
          <w:i/>
        </w:rPr>
        <w:t>Serial HTTP request performance</w:t>
      </w:r>
    </w:p>
    <w:tbl>
      <w:tblPr>
        <w:tblStyle w:val="TableGrid"/>
        <w:tblW w:type="auto" w:w="0"/>
        <w:tblLook w:firstColumn="1" w:firstRow="1" w:lastColumn="0" w:lastRow="0" w:noHBand="0" w:noVBand="1" w:val="04A0"/>
      </w:tblPr>
      <w:tblGrid>
        <w:gridCol w:w="1872"/>
        <w:gridCol w:w="2448"/>
        <w:gridCol w:w="2448"/>
        <w:gridCol w:w="2592"/>
      </w:tblGrid>
      <w:tr>
        <w:trPr>
          <w:cantSplit/>
          <w:tblHeader/>
        </w:trPr>
        <w:tc>
          <w:tcPr>
            <w:tcW w:type="dxa" w:w="2340"/>
          </w:tcPr>
          <w:p>
            <w:pPr>
              <w:spacing w:line="360" w:lineRule="auto"/>
            </w:pPr>
            <w:r>
              <w:rPr>
                <w:rFonts w:ascii="Times New Roman" w:hAnsi="Times New Roman"/>
                <w:sz w:val="24"/>
              </w:rPr>
              <w:t>Run</w:t>
            </w:r>
          </w:p>
        </w:tc>
        <w:tc>
          <w:tcPr>
            <w:tcW w:type="dxa" w:w="2340"/>
          </w:tcPr>
          <w:p>
            <w:pPr>
              <w:spacing w:line="360" w:lineRule="auto"/>
            </w:pPr>
            <w:r>
              <w:rPr>
                <w:rFonts w:ascii="Times New Roman" w:hAnsi="Times New Roman"/>
                <w:sz w:val="24"/>
              </w:rPr>
              <w:t>Median latency</w:t>
            </w:r>
          </w:p>
        </w:tc>
        <w:tc>
          <w:tcPr>
            <w:tcW w:type="dxa" w:w="2340"/>
          </w:tcPr>
          <w:p>
            <w:pPr>
              <w:spacing w:line="360" w:lineRule="auto"/>
            </w:pPr>
            <w:r>
              <w:rPr>
                <w:rFonts w:ascii="Times New Roman" w:hAnsi="Times New Roman"/>
                <w:sz w:val="24"/>
              </w:rPr>
              <w:t>p95 latency</w:t>
            </w:r>
          </w:p>
        </w:tc>
        <w:tc>
          <w:tcPr>
            <w:tcW w:type="dxa" w:w="2340"/>
          </w:tcPr>
          <w:p>
            <w:pPr>
              <w:spacing w:line="360" w:lineRule="auto"/>
            </w:pPr>
            <w:r>
              <w:rPr>
                <w:rFonts w:ascii="Times New Roman" w:hAnsi="Times New Roman"/>
                <w:sz w:val="24"/>
              </w:rPr>
              <w:t>Throughput</w:t>
            </w:r>
          </w:p>
        </w:tc>
      </w:tr>
      <w:tr>
        <w:trPr>
          <w:cantSplit/>
        </w:trPr>
        <w:tc>
          <w:tcPr>
            <w:tcW w:type="dxa" w:w="2340"/>
          </w:tcPr>
          <w:p>
            <w:pPr>
              <w:spacing w:line="360" w:lineRule="auto"/>
            </w:pPr>
            <w:r>
              <w:rPr>
                <w:rFonts w:ascii="Times New Roman" w:hAnsi="Times New Roman"/>
                <w:sz w:val="24"/>
              </w:rPr>
              <w:t>Batch 1</w:t>
            </w:r>
          </w:p>
        </w:tc>
        <w:tc>
          <w:tcPr>
            <w:tcW w:type="dxa" w:w="2340"/>
          </w:tcPr>
          <w:p>
            <w:pPr>
              <w:spacing w:line="360" w:lineRule="auto"/>
            </w:pPr>
            <w:r>
              <w:rPr>
                <w:rFonts w:ascii="Times New Roman" w:hAnsi="Times New Roman"/>
                <w:sz w:val="24"/>
              </w:rPr>
              <w:t>14.60 ms</w:t>
            </w:r>
          </w:p>
        </w:tc>
        <w:tc>
          <w:tcPr>
            <w:tcW w:type="dxa" w:w="2340"/>
          </w:tcPr>
          <w:p>
            <w:pPr>
              <w:spacing w:line="360" w:lineRule="auto"/>
            </w:pPr>
            <w:r>
              <w:rPr>
                <w:rFonts w:ascii="Times New Roman" w:hAnsi="Times New Roman"/>
                <w:sz w:val="24"/>
              </w:rPr>
              <w:t>20.04 ms</w:t>
            </w:r>
          </w:p>
        </w:tc>
        <w:tc>
          <w:tcPr>
            <w:tcW w:type="dxa" w:w="2340"/>
          </w:tcPr>
          <w:p>
            <w:pPr>
              <w:spacing w:line="360" w:lineRule="auto"/>
            </w:pPr>
            <w:r>
              <w:rPr>
                <w:rFonts w:ascii="Times New Roman" w:hAnsi="Times New Roman"/>
                <w:sz w:val="24"/>
              </w:rPr>
              <w:t>66.00/s</w:t>
            </w:r>
          </w:p>
        </w:tc>
      </w:tr>
      <w:tr>
        <w:trPr>
          <w:cantSplit/>
        </w:trPr>
        <w:tc>
          <w:tcPr>
            <w:tcW w:type="dxa" w:w="2340"/>
          </w:tcPr>
          <w:p>
            <w:pPr>
              <w:spacing w:line="360" w:lineRule="auto"/>
            </w:pPr>
            <w:r>
              <w:rPr>
                <w:rFonts w:ascii="Times New Roman" w:hAnsi="Times New Roman"/>
                <w:sz w:val="24"/>
              </w:rPr>
              <w:t>Batch 2</w:t>
            </w:r>
          </w:p>
        </w:tc>
        <w:tc>
          <w:tcPr>
            <w:tcW w:type="dxa" w:w="2340"/>
          </w:tcPr>
          <w:p>
            <w:pPr>
              <w:spacing w:line="360" w:lineRule="auto"/>
            </w:pPr>
            <w:r>
              <w:rPr>
                <w:rFonts w:ascii="Times New Roman" w:hAnsi="Times New Roman"/>
                <w:sz w:val="24"/>
              </w:rPr>
              <w:t>14.85 ms</w:t>
            </w:r>
          </w:p>
        </w:tc>
        <w:tc>
          <w:tcPr>
            <w:tcW w:type="dxa" w:w="2340"/>
          </w:tcPr>
          <w:p>
            <w:pPr>
              <w:spacing w:line="360" w:lineRule="auto"/>
            </w:pPr>
            <w:r>
              <w:rPr>
                <w:rFonts w:ascii="Times New Roman" w:hAnsi="Times New Roman"/>
                <w:sz w:val="24"/>
              </w:rPr>
              <w:t>18.57 ms</w:t>
            </w:r>
          </w:p>
        </w:tc>
        <w:tc>
          <w:tcPr>
            <w:tcW w:type="dxa" w:w="2340"/>
          </w:tcPr>
          <w:p>
            <w:pPr>
              <w:spacing w:line="360" w:lineRule="auto"/>
            </w:pPr>
            <w:r>
              <w:rPr>
                <w:rFonts w:ascii="Times New Roman" w:hAnsi="Times New Roman"/>
                <w:sz w:val="24"/>
              </w:rPr>
              <w:t>65.40/s</w:t>
            </w:r>
          </w:p>
        </w:tc>
      </w:tr>
      <w:tr>
        <w:trPr>
          <w:cantSplit/>
        </w:trPr>
        <w:tc>
          <w:tcPr>
            <w:tcW w:type="dxa" w:w="2340"/>
          </w:tcPr>
          <w:p>
            <w:pPr>
              <w:spacing w:line="360" w:lineRule="auto"/>
            </w:pPr>
            <w:r>
              <w:rPr>
                <w:rFonts w:ascii="Times New Roman" w:hAnsi="Times New Roman"/>
                <w:sz w:val="24"/>
              </w:rPr>
              <w:t>Batch 3</w:t>
            </w:r>
          </w:p>
        </w:tc>
        <w:tc>
          <w:tcPr>
            <w:tcW w:type="dxa" w:w="2340"/>
          </w:tcPr>
          <w:p>
            <w:pPr>
              <w:spacing w:line="360" w:lineRule="auto"/>
            </w:pPr>
            <w:r>
              <w:rPr>
                <w:rFonts w:ascii="Times New Roman" w:hAnsi="Times New Roman"/>
                <w:sz w:val="24"/>
              </w:rPr>
              <w:t>14.70 ms</w:t>
            </w:r>
          </w:p>
        </w:tc>
        <w:tc>
          <w:tcPr>
            <w:tcW w:type="dxa" w:w="2340"/>
          </w:tcPr>
          <w:p>
            <w:pPr>
              <w:spacing w:line="360" w:lineRule="auto"/>
            </w:pPr>
            <w:r>
              <w:rPr>
                <w:rFonts w:ascii="Times New Roman" w:hAnsi="Times New Roman"/>
                <w:sz w:val="24"/>
              </w:rPr>
              <w:t>22.80 ms</w:t>
            </w:r>
          </w:p>
        </w:tc>
        <w:tc>
          <w:tcPr>
            <w:tcW w:type="dxa" w:w="2340"/>
          </w:tcPr>
          <w:p>
            <w:pPr>
              <w:spacing w:line="360" w:lineRule="auto"/>
            </w:pPr>
            <w:r>
              <w:rPr>
                <w:rFonts w:ascii="Times New Roman" w:hAnsi="Times New Roman"/>
                <w:sz w:val="24"/>
              </w:rPr>
              <w:t>63.27/s</w:t>
            </w:r>
          </w:p>
        </w:tc>
      </w:tr>
    </w:tbl>
    <w:p>
      <w:r>
        <w:t>The holdout contains 2,400 observations. HTTP results use ten warmups and three serial batches of 100 authenticated requests under one Gunicorn worker; all measured requests returned HTTP 201.</w:t>
      </w:r>
    </w:p>
    <w:p>
      <w:pPr>
        <w:keepNext/>
      </w:pPr>
      <w:r>
        <w:rPr>
          <w:b/>
        </w:rPr>
        <w:t>Table Q1</w:t>
      </w:r>
    </w:p>
    <w:p>
      <w:pPr>
        <w:keepNext/>
      </w:pPr>
      <w:r>
        <w:rPr>
          <w:i/>
        </w:rPr>
        <w:t>Qualitative interface clarity inspection</w:t>
      </w:r>
    </w:p>
    <w:tbl>
      <w:tblPr>
        <w:tblW w:type="auto" w:w="0"/>
        <w:tblLayout w:type="fixed"/>
        <w:tblLook w:firstColumn="1" w:firstRow="1" w:lastColumn="0" w:lastRow="0" w:noHBand="0" w:noVBand="1" w:val="04A0"/>
      </w:tblPr>
      <w:tblGrid>
        <w:gridCol w:w="1800"/>
        <w:gridCol w:w="3888"/>
        <w:gridCol w:w="3672"/>
      </w:tblGrid>
      <w:tr>
        <w:trPr>
          <w:cantSplit/>
          <w:tblHeader/>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Task or criterion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Observed evidence</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Limitation or next check</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Normal submission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Units and a saved identifier are visible; record status is normal.</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Participant interpretation remains unmeasured.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Hot alert interpretation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Explicit 90 ≥ 82 breach and forest disagreement are shown.</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Internal feature names need clearer language.</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Alert acknowledgement</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Table changes to acknowledged; SQL audit persists.</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Acknowledgement does not mean repaired.</w:t>
            </w:r>
          </w:p>
        </w:tc>
      </w:tr>
      <w:tr>
        <w:trPr>
          <w:cantSplit/>
        </w:trPr>
        <w:tc>
          <w:tcPr>
            <w:tcW w:type="dxa" w:w="180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History and navigation</w:t>
            </w:r>
          </w:p>
        </w:tc>
        <w:tc>
          <w:tcPr>
            <w:tcW w:type="dxa" w:w="3888"/>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Latest 50 records are available.</w:t>
            </w:r>
          </w:p>
        </w:tc>
        <w:tc>
          <w:tcPr>
            <w:tcW w:type="dxa" w:w="3672"/>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Add filters, pagination, equipment context, and trends.</w:t>
            </w:r>
          </w:p>
        </w:tc>
      </w:tr>
    </w:tbl>
    <w:p/>
    <w:p>
      <w:pPr>
        <w:keepNext/>
      </w:pPr>
      <w:r>
        <w:rPr>
          <w:b/>
        </w:rPr>
        <w:t>Figure 7</w:t>
      </w:r>
    </w:p>
    <w:p>
      <w:pPr>
        <w:keepNext/>
      </w:pPr>
      <w:r>
        <w:rPr>
          <w:i/>
        </w:rPr>
        <w:t>Detection comparison and request latency</w:t>
      </w:r>
    </w:p>
    <w:p>
      <w:pPr>
        <w:keepNext/>
        <w:spacing w:line="240" w:lineRule="auto" w:after="120"/>
        <w:jc w:val="center"/>
      </w:pPr>
      <w:r>
        <w:drawing>
          <wp:inline xmlns:a="http://schemas.openxmlformats.org/drawingml/2006/main" xmlns:pic="http://schemas.openxmlformats.org/drawingml/2006/picture">
            <wp:extent cx="5943600" cy="2269375"/>
            <wp:docPr id="19" name="Picture 19"/>
            <wp:cNvGraphicFramePr>
              <a:graphicFrameLocks noChangeAspect="1"/>
            </wp:cNvGraphicFramePr>
            <a:graphic>
              <a:graphicData uri="http://schemas.openxmlformats.org/drawingml/2006/picture">
                <pic:pic>
                  <pic:nvPicPr>
                    <pic:cNvPr id="0" name="19.png"/>
                    <pic:cNvPicPr/>
                  </pic:nvPicPr>
                  <pic:blipFill>
                    <a:blip r:embed="rId28"/>
                    <a:stretch>
                      <a:fillRect/>
                    </a:stretch>
                  </pic:blipFill>
                  <pic:spPr>
                    <a:xfrm>
                      <a:off x="0" y="0"/>
                      <a:ext cx="5943600" cy="2269375"/>
                    </a:xfrm>
                    <a:prstGeom prst="rect"/>
                  </pic:spPr>
                </pic:pic>
              </a:graphicData>
            </a:graphic>
          </wp:inline>
        </w:drawing>
      </w:r>
    </w:p>
    <w:p>
      <w:r>
        <w:rPr>
          <w:i/>
        </w:rPr>
        <w:t xml:space="preserve">Note. </w:t>
      </w:r>
      <w:r>
        <w:t>Threshold-aligned synthetic labels favor the baseline. The latency chart reports batch p95 for the complete authenticated analysis and save request.</w:t>
      </w:r>
    </w:p>
    <w:p>
      <w:pPr>
        <w:keepNext/>
      </w:pPr>
      <w:r>
        <w:rPr>
          <w:b/>
        </w:rPr>
        <w:t>Figure 8</w:t>
      </w:r>
    </w:p>
    <w:p>
      <w:pPr>
        <w:keepNext/>
      </w:pPr>
      <w:r>
        <w:rPr>
          <w:i/>
        </w:rPr>
        <w:t>HTTP performance and workflow results</w:t>
      </w:r>
    </w:p>
    <w:p>
      <w:pPr>
        <w:keepNext/>
        <w:spacing w:line="240" w:lineRule="auto" w:after="120"/>
        <w:jc w:val="center"/>
      </w:pPr>
      <w:r>
        <w:drawing>
          <wp:inline xmlns:a="http://schemas.openxmlformats.org/drawingml/2006/main" xmlns:pic="http://schemas.openxmlformats.org/drawingml/2006/picture">
            <wp:extent cx="5943600" cy="2959064"/>
            <wp:docPr id="20" name="Picture 20"/>
            <wp:cNvGraphicFramePr>
              <a:graphicFrameLocks noChangeAspect="1"/>
            </wp:cNvGraphicFramePr>
            <a:graphic>
              <a:graphicData uri="http://schemas.openxmlformats.org/drawingml/2006/picture">
                <pic:pic>
                  <pic:nvPicPr>
                    <pic:cNvPr id="0" name="20.png"/>
                    <pic:cNvPicPr/>
                  </pic:nvPicPr>
                  <pic:blipFill>
                    <a:blip r:embed="rId29"/>
                    <a:stretch>
                      <a:fillRect/>
                    </a:stretch>
                  </pic:blipFill>
                  <pic:spPr>
                    <a:xfrm>
                      <a:off x="0" y="0"/>
                      <a:ext cx="5943600" cy="2959064"/>
                    </a:xfrm>
                    <a:prstGeom prst="rect"/>
                  </pic:spPr>
                </pic:pic>
              </a:graphicData>
            </a:graphic>
          </wp:inline>
        </w:drawing>
      </w:r>
    </w:p>
    <w:p>
      <w:r>
        <w:rPr>
          <w:i/>
        </w:rPr>
        <w:t xml:space="preserve">Note. </w:t>
      </w:r>
      <w:r>
        <w:t>Recorded outputs for normal submission, the hot threshold breach, acknowledgement, and three request batches. Dashboard HTML was checked; browser JavaScript was not reexecuted.</w:t>
      </w:r>
    </w:p>
    <w:p>
      <w:pPr>
        <w:keepNext/>
      </w:pPr>
      <w:r>
        <w:rPr>
          <w:b/>
        </w:rPr>
        <w:t>Figure 9</w:t>
      </w:r>
    </w:p>
    <w:p>
      <w:pPr>
        <w:keepNext/>
      </w:pPr>
      <w:r>
        <w:rPr>
          <w:i/>
        </w:rPr>
        <w:t>Automated tests and coverage</w:t>
      </w:r>
    </w:p>
    <w:p>
      <w:pPr>
        <w:keepNext/>
        <w:spacing w:line="240" w:lineRule="auto" w:after="120"/>
        <w:jc w:val="center"/>
      </w:pPr>
      <w:r>
        <w:drawing>
          <wp:inline xmlns:a="http://schemas.openxmlformats.org/drawingml/2006/main" xmlns:pic="http://schemas.openxmlformats.org/drawingml/2006/picture">
            <wp:extent cx="5943600" cy="4453455"/>
            <wp:docPr id="21" name="Picture 21"/>
            <wp:cNvGraphicFramePr>
              <a:graphicFrameLocks noChangeAspect="1"/>
            </wp:cNvGraphicFramePr>
            <a:graphic>
              <a:graphicData uri="http://schemas.openxmlformats.org/drawingml/2006/picture">
                <pic:pic>
                  <pic:nvPicPr>
                    <pic:cNvPr id="0" name="18.png"/>
                    <pic:cNvPicPr/>
                  </pic:nvPicPr>
                  <pic:blipFill>
                    <a:blip r:embed="rId30"/>
                    <a:stretch>
                      <a:fillRect/>
                    </a:stretch>
                  </pic:blipFill>
                  <pic:spPr>
                    <a:xfrm>
                      <a:off x="0" y="0"/>
                      <a:ext cx="5943600" cy="4453455"/>
                    </a:xfrm>
                    <a:prstGeom prst="rect"/>
                  </pic:spPr>
                </pic:pic>
              </a:graphicData>
            </a:graphic>
          </wp:inline>
        </w:drawing>
      </w:r>
    </w:p>
    <w:p>
      <w:r>
        <w:rPr>
          <w:i/>
        </w:rPr>
        <w:t xml:space="preserve">Note. </w:t>
      </w:r>
      <w:r>
        <w:t>Recorded pytest results: 59 tests pass, with 98.23% statement coverage and 94.83% branch coverage. The combined terminal score rounds to 98%.</w:t>
      </w:r>
    </w:p>
    <w:p>
      <w:pPr>
        <w:pStyle w:val="Heading1"/>
      </w:pPr>
      <w:r>
        <w:t>Part C: Deployment &amp; Configuration Planning</w:t>
      </w:r>
    </w:p>
    <w:p>
      <w:pPr>
        <w:pStyle w:val="Heading2"/>
      </w:pPr>
      <w:r>
        <w:t>Selected Deployment and Alternatives</w:t>
      </w:r>
    </w:p>
    <w:p>
      <w:r>
        <w:t>Docker on a controlled Linux staging host is selected for repeatable packaging and isolation. A local virtual environment suits demonstrations; a managed cloud host offers convenience but introduces costs and organizational data controls. An on-premises server provides locality but requires patching and backup ownership. The prepared Dockerfile uses a non-root account, one Gunicorn worker, and a health check. A persistent volume preserves SQLite records (Docker, n.d.). Docker execution and staging promotion have not been performed; the measured environment is local Gunicorn. Deployment includes packaging and configuration, rather than simply copying source files (Sumo Logic, n.d.). Staging must also confirm that the service account can write to its mounted volume.</w:t>
      </w:r>
    </w:p>
    <w:p>
      <w:pPr>
        <w:pStyle w:val="Heading2"/>
      </w:pPr>
      <w:r>
        <w:t>Prerequisites Environment and Commands</w:t>
      </w:r>
    </w:p>
    <w:p>
      <w:r>
        <w:t>Table 2 and Figure 10 document setup. Validated prerequisites are Linux x86_64, Python 3.12.14, scikit-learn 1.8.0, Flask 3.1.2, Gunicorn 23.0.0, pytest 9.1.1, pytest-cov 7.1.0, and SQLite 3.53.1. An IDE opens the repository root and selects its virtual-environment interpreter. Required settings are APP_SECRET_KEY and DEMO_PASSWORD_HASH; DEMO_USER defaults to technician, DATABASE_PATH identifies writable storage, and COOKIE_SECURE becomes one behind staging HTTPS. Secrets remain outside Git. Commands create the environment, install dependencies, generate data, run evaluation and tests, compile Python, and start the server. Docker build/run commands are proposed. Flask documentation specifies Gunicorn’s application-factory syntax (Pallets Projects, n.d.).</w:t>
      </w:r>
    </w:p>
    <w:p>
      <w:pPr>
        <w:pStyle w:val="Heading2"/>
      </w:pPr>
      <w:r>
        <w:t>Configuration and Acceptance Criteria</w:t>
      </w:r>
    </w:p>
    <w:p>
      <w:r>
        <w:t>Configuration management versions source, thresholds, dependencies, and evidence together (Bennett, 2024). The feature/unit6-integration-recovery branch preserves the integration work separately from main. Verified earlier tags v0.1.0 and v0.2.0 retain prototype and tested-core milestones; a future v0.3.0 prerelease should identify reviewed integration. Merge criteria require all tests passing, separate statement and branch coverage at least 90%, successful compilation, unchanged seeded baseline confusion counts, and review of configuration and security changes. Staging additionally requires a built image, restart/persistence checks, HTTPS, secret injection, backup restoration, dependency review, and p95 below 100 milliseconds under the documented serial protocol. Passing software gates does not promote the forest to operational use. Documentation must remain synchronized with implementation (Brown, 2026).</w:t>
      </w:r>
    </w:p>
    <w:p>
      <w:pPr>
        <w:pStyle w:val="Heading2"/>
      </w:pPr>
      <w:r>
        <w:t>Reproduction and Configuration Evidence</w:t>
      </w:r>
    </w:p>
    <w:p>
      <w:r>
        <w:t>Setup depends on the order of initialization. Generate the dataset and evaluation files before server startup because the detection service reads both during construction. Supply the session secret and password hash before creating the application; missing secrets deliberately stop startup. The database parent directory must be writable. Restart after changing thresholds because the service loads its configuration and fits the detector once. The recorded database contains 312 observations: two demonstrations, ten warmups, and 300 benchmark requests. Its single acknowledgement belongs to the hot demonstration. Reopening SQLite confirms the saved review status. These records establish persistence without representing participant activity or operational incidents. Reproduction should compare classification counts rather than require identical timings, since scheduling and storage conditions vary. Appendix A provides the ordered commands, including secret preparation before Gunicorn startup. The staging plan adds restart and backup restoration checks before wider access.</w:t>
      </w:r>
    </w:p>
    <w:p>
      <w:pPr>
        <w:pStyle w:val="Heading2"/>
      </w:pPr>
      <w:r>
        <w:t>Conclusion</w:t>
      </w:r>
    </w:p>
    <w:p>
      <w:pPr>
        <w:pStyle w:val="Heading2"/>
      </w:pPr>
      <w:r>
        <w:t>Findings and Next Steps</w:t>
      </w:r>
    </w:p>
    <w:p>
      <w:r>
        <w:t>The project now demonstrates connected decision support with reproducible evidence. Detection results favor the baseline under biased synthetic conditions, while latency and integration tests establish local functionality. The next priorities are independent telemetry, representative usability testing, stronger access controls, and verified container deployment with documented acceptance criteria.</w:t>
      </w:r>
    </w:p>
    <w:p>
      <w:pPr>
        <w:keepNext/>
      </w:pPr>
      <w:r>
        <w:rPr>
          <w:b/>
        </w:rPr>
        <w:t>Figure 10</w:t>
      </w:r>
    </w:p>
    <w:p>
      <w:pPr>
        <w:keepNext/>
      </w:pPr>
      <w:r>
        <w:rPr>
          <w:i/>
        </w:rPr>
        <w:t>Environment setup and persistent storage</w:t>
      </w:r>
    </w:p>
    <w:p>
      <w:pPr>
        <w:keepNext/>
        <w:spacing w:line="240" w:lineRule="auto" w:after="120"/>
        <w:jc w:val="center"/>
      </w:pPr>
      <w:r>
        <w:drawing>
          <wp:inline xmlns:a="http://schemas.openxmlformats.org/drawingml/2006/main" xmlns:pic="http://schemas.openxmlformats.org/drawingml/2006/picture">
            <wp:extent cx="5943600" cy="5268577"/>
            <wp:docPr id="22" name="Picture 22"/>
            <wp:cNvGraphicFramePr>
              <a:graphicFrameLocks noChangeAspect="1"/>
            </wp:cNvGraphicFramePr>
            <a:graphic>
              <a:graphicData uri="http://schemas.openxmlformats.org/drawingml/2006/picture">
                <pic:pic>
                  <pic:nvPicPr>
                    <pic:cNvPr id="0" name="21.png"/>
                    <pic:cNvPicPr/>
                  </pic:nvPicPr>
                  <pic:blipFill>
                    <a:blip r:embed="rId31"/>
                    <a:stretch>
                      <a:fillRect/>
                    </a:stretch>
                  </pic:blipFill>
                  <pic:spPr>
                    <a:xfrm>
                      <a:off x="0" y="0"/>
                      <a:ext cx="5943600" cy="5268577"/>
                    </a:xfrm>
                    <a:prstGeom prst="rect"/>
                  </pic:spPr>
                </pic:pic>
              </a:graphicData>
            </a:graphic>
          </wp:inline>
        </w:drawing>
      </w:r>
    </w:p>
    <w:p>
      <w:r>
        <w:rPr>
          <w:i/>
        </w:rPr>
        <w:t xml:space="preserve">Note. </w:t>
      </w:r>
      <w:r>
        <w:t>Recorded interpreter, dependency, server, and database outputs. The database contains 312 observations and one acknowledgement audit entry. Docker execution remains planned.</w:t>
      </w:r>
    </w:p>
    <w:p>
      <w:pPr>
        <w:pStyle w:val="Heading1"/>
        <w:pageBreakBefore/>
      </w:pPr>
      <w:r>
        <w:t>References</w:t>
      </w:r>
    </w:p>
    <w:p>
      <w:pPr>
        <w:ind w:left="720" w:hanging="720"/>
      </w:pPr>
      <w:r>
        <w:rPr>
          <w:rFonts w:ascii="Times New Roman" w:hAnsi="Times New Roman"/>
          <w:color w:val="000000"/>
          <w:sz w:val="24"/>
        </w:rPr>
        <w:t xml:space="preserve">Bennett, L. (2024, August 13). </w:t>
      </w:r>
      <w:r>
        <w:rPr>
          <w:rFonts w:ascii="Times New Roman" w:hAnsi="Times New Roman"/>
          <w:i/>
          <w:color w:val="000000"/>
          <w:sz w:val="24"/>
        </w:rPr>
        <w:t>Software configuration management in software engineering.</w:t>
      </w:r>
      <w:r>
        <w:rPr>
          <w:rFonts w:ascii="Times New Roman" w:hAnsi="Times New Roman"/>
          <w:color w:val="000000"/>
          <w:sz w:val="24"/>
        </w:rPr>
        <w:t xml:space="preserve"> Guru99. https://www.guru99.com/software-configuration-management-tutorial.html</w:t>
      </w:r>
    </w:p>
    <w:p>
      <w:pPr>
        <w:ind w:left="720" w:hanging="720"/>
      </w:pPr>
      <w:r>
        <w:rPr>
          <w:rFonts w:ascii="Times New Roman" w:hAnsi="Times New Roman"/>
          <w:color w:val="000000"/>
          <w:sz w:val="24"/>
        </w:rPr>
        <w:t xml:space="preserve">Brereton, J. (2023, November 27). </w:t>
      </w:r>
      <w:r>
        <w:rPr>
          <w:rFonts w:ascii="Times New Roman" w:hAnsi="Times New Roman"/>
          <w:i/>
          <w:color w:val="000000"/>
          <w:sz w:val="24"/>
        </w:rPr>
        <w:t>Qualitative vs quantitative metrics: A comprehensive comparison.</w:t>
      </w:r>
      <w:r>
        <w:rPr>
          <w:rFonts w:ascii="Times New Roman" w:hAnsi="Times New Roman"/>
          <w:color w:val="000000"/>
          <w:sz w:val="24"/>
        </w:rPr>
        <w:t xml:space="preserve"> LaunchNotes. https://www.launchnotes.com/blog/qualitative-vs-quantitative-metrics-a-comprehensive-comparison</w:t>
      </w:r>
    </w:p>
    <w:p>
      <w:pPr>
        <w:ind w:left="720" w:hanging="720"/>
      </w:pPr>
      <w:r>
        <w:rPr>
          <w:rFonts w:ascii="Times New Roman" w:hAnsi="Times New Roman"/>
          <w:color w:val="000000"/>
          <w:sz w:val="24"/>
        </w:rPr>
        <w:t xml:space="preserve">Brown, J. (2026, September 13). </w:t>
      </w:r>
      <w:r>
        <w:rPr>
          <w:rFonts w:ascii="Times New Roman" w:hAnsi="Times New Roman"/>
          <w:i/>
          <w:color w:val="000000"/>
          <w:sz w:val="24"/>
        </w:rPr>
        <w:t>Software documentation guide: Definition, examples, downloadable templates + how to write.</w:t>
      </w:r>
      <w:r>
        <w:rPr>
          <w:rFonts w:ascii="Times New Roman" w:hAnsi="Times New Roman"/>
          <w:color w:val="000000"/>
          <w:sz w:val="24"/>
        </w:rPr>
        <w:t xml:space="preserve"> Helpjuice. https://helpjuice.com/blog/software-documentation</w:t>
      </w:r>
    </w:p>
    <w:p>
      <w:pPr>
        <w:ind w:left="720" w:hanging="720"/>
      </w:pPr>
      <w:r>
        <w:rPr>
          <w:rFonts w:ascii="Times New Roman" w:hAnsi="Times New Roman"/>
          <w:color w:val="000000"/>
          <w:sz w:val="24"/>
        </w:rPr>
        <w:t xml:space="preserve">Docker. (n.d.). </w:t>
      </w:r>
      <w:r>
        <w:rPr>
          <w:rFonts w:ascii="Times New Roman" w:hAnsi="Times New Roman"/>
          <w:i/>
          <w:color w:val="000000"/>
          <w:sz w:val="24"/>
        </w:rPr>
        <w:t>Volumes.</w:t>
      </w:r>
      <w:r>
        <w:rPr>
          <w:rFonts w:ascii="Times New Roman" w:hAnsi="Times New Roman"/>
          <w:color w:val="000000"/>
          <w:sz w:val="24"/>
        </w:rPr>
        <w:t xml:space="preserve"> https://docs.docker.com/engine/storage/volumes/</w:t>
      </w:r>
    </w:p>
    <w:p>
      <w:pPr>
        <w:ind w:left="720" w:hanging="720"/>
      </w:pPr>
      <w:r>
        <w:rPr>
          <w:rFonts w:ascii="Times New Roman" w:hAnsi="Times New Roman"/>
          <w:color w:val="000000"/>
          <w:sz w:val="24"/>
        </w:rPr>
        <w:t xml:space="preserve">GeeksforGeeks. (2025, July 15). </w:t>
      </w:r>
      <w:r>
        <w:rPr>
          <w:rFonts w:ascii="Times New Roman" w:hAnsi="Times New Roman"/>
          <w:i/>
          <w:color w:val="000000"/>
          <w:sz w:val="24"/>
        </w:rPr>
        <w:t>Measuring software quality using quality metrics.</w:t>
      </w:r>
      <w:r>
        <w:rPr>
          <w:rFonts w:ascii="Times New Roman" w:hAnsi="Times New Roman"/>
          <w:color w:val="000000"/>
          <w:sz w:val="24"/>
        </w:rPr>
        <w:t xml:space="preserve"> https://www.geeksforgeeks.org/software-engineering/measuring-software-quality-using-quality-metrics/</w:t>
      </w:r>
    </w:p>
    <w:p>
      <w:pPr>
        <w:ind w:left="720" w:hanging="720"/>
      </w:pPr>
      <w:r>
        <w:rPr>
          <w:rFonts w:ascii="Times New Roman" w:hAnsi="Times New Roman"/>
          <w:color w:val="000000"/>
          <w:sz w:val="24"/>
        </w:rPr>
        <w:t xml:space="preserve">Han, S., Hu, X., Huang, H., Jiang, M., &amp; Zhao, Y. (2022). ADBench: Anomaly detection benchmark. </w:t>
      </w:r>
      <w:r>
        <w:rPr>
          <w:rFonts w:ascii="Times New Roman" w:hAnsi="Times New Roman"/>
          <w:i/>
          <w:color w:val="000000"/>
          <w:sz w:val="24"/>
        </w:rPr>
        <w:t>Advances in Neural Information Processing Systems, 35</w:t>
      </w:r>
      <w:r>
        <w:rPr>
          <w:rFonts w:ascii="Times New Roman" w:hAnsi="Times New Roman"/>
          <w:color w:val="000000"/>
          <w:sz w:val="24"/>
        </w:rPr>
        <w:t>, 32142–32159. https://proceedings.neurips.cc/paper_files/paper/2022/hash/cf93972b116ca5268827d575f2cc226b-Abstract-Datasets_and_Benchmarks.html</w:t>
      </w:r>
    </w:p>
    <w:p>
      <w:pPr>
        <w:ind w:left="720" w:hanging="720"/>
      </w:pPr>
      <w:r>
        <w:rPr>
          <w:rFonts w:ascii="Times New Roman" w:hAnsi="Times New Roman"/>
          <w:color w:val="000000"/>
          <w:sz w:val="24"/>
        </w:rPr>
        <w:t xml:space="preserve">Pallets Projects. (n.d.). </w:t>
      </w:r>
      <w:r>
        <w:rPr>
          <w:rFonts w:ascii="Times New Roman" w:hAnsi="Times New Roman"/>
          <w:i/>
          <w:color w:val="000000"/>
          <w:sz w:val="24"/>
        </w:rPr>
        <w:t>Gunicorn.</w:t>
      </w:r>
      <w:r>
        <w:rPr>
          <w:rFonts w:ascii="Times New Roman" w:hAnsi="Times New Roman"/>
          <w:color w:val="000000"/>
          <w:sz w:val="24"/>
        </w:rPr>
        <w:t xml:space="preserve"> Flask documentation. https://flask.palletsprojects.com/en/stable/deploying/gunicorn/</w:t>
      </w:r>
    </w:p>
    <w:p>
      <w:pPr>
        <w:ind w:left="720" w:hanging="720"/>
      </w:pPr>
      <w:r>
        <w:rPr>
          <w:rFonts w:ascii="Times New Roman" w:hAnsi="Times New Roman"/>
          <w:color w:val="000000"/>
          <w:sz w:val="24"/>
        </w:rPr>
        <w:t xml:space="preserve">Ruff, L., Kauffmann, J. R., Vandermeulen, R. A., Montavon, G., Samek, W., Kloft, M., Dietterich, T. G., &amp; Müller, K.-R. (2021). A unifying review of deep and shallow anomaly detection. </w:t>
      </w:r>
      <w:r>
        <w:rPr>
          <w:rFonts w:ascii="Times New Roman" w:hAnsi="Times New Roman"/>
          <w:i/>
          <w:color w:val="000000"/>
          <w:sz w:val="24"/>
        </w:rPr>
        <w:t>Proceedings of the IEEE, 109</w:t>
      </w:r>
      <w:r>
        <w:rPr>
          <w:rFonts w:ascii="Times New Roman" w:hAnsi="Times New Roman"/>
          <w:color w:val="000000"/>
          <w:sz w:val="24"/>
        </w:rPr>
        <w:t>(5), 756–795. https://doi.org/10.1109/JPROC.2021.3052449</w:t>
      </w:r>
    </w:p>
    <w:p>
      <w:pPr>
        <w:ind w:left="720" w:hanging="720"/>
      </w:pPr>
      <w:r>
        <w:rPr>
          <w:rFonts w:ascii="Times New Roman" w:hAnsi="Times New Roman"/>
          <w:color w:val="000000"/>
          <w:sz w:val="24"/>
        </w:rPr>
        <w:t xml:space="preserve">Sumo Logic. (n.d.). </w:t>
      </w:r>
      <w:r>
        <w:rPr>
          <w:rFonts w:ascii="Times New Roman" w:hAnsi="Times New Roman"/>
          <w:i/>
          <w:color w:val="000000"/>
          <w:sz w:val="24"/>
        </w:rPr>
        <w:t>What is software deployment?</w:t>
      </w:r>
      <w:r>
        <w:rPr>
          <w:rFonts w:ascii="Times New Roman" w:hAnsi="Times New Roman"/>
          <w:color w:val="000000"/>
          <w:sz w:val="24"/>
        </w:rPr>
        <w:t xml:space="preserve"> https://www.sumologic.com/glossary/software-development/</w:t>
      </w:r>
    </w:p>
    <w:p>
      <w:pPr>
        <w:ind w:left="720" w:hanging="720"/>
      </w:pPr>
      <w:r>
        <w:rPr>
          <w:rFonts w:ascii="Times New Roman" w:hAnsi="Times New Roman"/>
          <w:color w:val="000000"/>
          <w:sz w:val="24"/>
        </w:rPr>
        <w:t xml:space="preserve">Summers, B. L. (2020). </w:t>
      </w:r>
      <w:r>
        <w:rPr>
          <w:rFonts w:ascii="Times New Roman" w:hAnsi="Times New Roman"/>
          <w:i/>
          <w:color w:val="000000"/>
          <w:sz w:val="24"/>
        </w:rPr>
        <w:t>Effective methods for software engineering.</w:t>
      </w:r>
      <w:r>
        <w:rPr>
          <w:rFonts w:ascii="Times New Roman" w:hAnsi="Times New Roman"/>
          <w:color w:val="000000"/>
          <w:sz w:val="24"/>
        </w:rPr>
        <w:t xml:space="preserve"> Auerbach Publications. https://doi.org/10.1201/9781003025665</w:t>
      </w:r>
    </w:p>
    <w:p>
      <w:pPr>
        <w:ind w:left="720" w:hanging="720"/>
      </w:pPr>
      <w:r>
        <w:rPr>
          <w:rFonts w:ascii="Times New Roman" w:hAnsi="Times New Roman"/>
          <w:color w:val="000000"/>
          <w:sz w:val="24"/>
        </w:rPr>
        <w:t xml:space="preserve">Wells, J. (2025, April 16). </w:t>
      </w:r>
      <w:r>
        <w:rPr>
          <w:rFonts w:ascii="Times New Roman" w:hAnsi="Times New Roman"/>
          <w:i/>
          <w:color w:val="000000"/>
          <w:sz w:val="24"/>
        </w:rPr>
        <w:t>Top 12 software quality metrics to measure and why.</w:t>
      </w:r>
      <w:r>
        <w:rPr>
          <w:rFonts w:ascii="Times New Roman" w:hAnsi="Times New Roman"/>
          <w:color w:val="000000"/>
          <w:sz w:val="24"/>
        </w:rPr>
        <w:t xml:space="preserve"> LinearB. https://linearb.io/blog/software-quality-metrics</w:t>
      </w:r>
    </w:p>
    <w:p>
      <w:pPr>
        <w:ind w:left="720" w:hanging="720"/>
      </w:pPr>
      <w:r>
        <w:rPr>
          <w:rFonts w:ascii="Times New Roman" w:hAnsi="Times New Roman"/>
          <w:color w:val="000000"/>
          <w:sz w:val="24"/>
        </w:rPr>
        <w:t xml:space="preserve">Zhao, Y., Nasrullah, Z., &amp; Li, Z. (2019). PyOD: A Python toolbox for scalable outlier detection. </w:t>
      </w:r>
      <w:r>
        <w:rPr>
          <w:rFonts w:ascii="Times New Roman" w:hAnsi="Times New Roman"/>
          <w:i/>
          <w:color w:val="000000"/>
          <w:sz w:val="24"/>
        </w:rPr>
        <w:t>Journal of Machine Learning Research, 20</w:t>
      </w:r>
      <w:r>
        <w:rPr>
          <w:rFonts w:ascii="Times New Roman" w:hAnsi="Times New Roman"/>
          <w:color w:val="000000"/>
          <w:sz w:val="24"/>
        </w:rPr>
        <w:t>(96), 1–7. https://www.jmlr.org/papers/v20/19-011.html</w:t>
      </w:r>
    </w:p>
    <w:p>
      <w:pPr>
        <w:pStyle w:val="Heading1"/>
        <w:pageBreakBefore/>
      </w:pPr>
      <w:r>
        <w:t>Appendix A Configuration and Setup</w:t>
      </w:r>
    </w:p>
    <w:p>
      <w:pPr>
        <w:keepNext/>
      </w:pPr>
      <w:r>
        <w:rPr>
          <w:b/>
        </w:rPr>
        <w:t>Table 2</w:t>
      </w:r>
    </w:p>
    <w:p>
      <w:pPr>
        <w:keepNext/>
      </w:pPr>
      <w:r>
        <w:rPr>
          <w:i/>
        </w:rPr>
        <w:t>Prerequisites and configuration settings</w:t>
      </w:r>
    </w:p>
    <w:tbl>
      <w:tblPr>
        <w:tblW w:type="auto" w:w="0"/>
        <w:tblLayout w:type="fixed"/>
        <w:tblLook w:firstColumn="1" w:firstRow="1" w:lastColumn="0" w:lastRow="0" w:noHBand="0" w:noVBand="1" w:val="04A0"/>
      </w:tblPr>
      <w:tblGrid>
        <w:gridCol w:w="2520"/>
        <w:gridCol w:w="6840"/>
      </w:tblGrid>
      <w:tr>
        <w:trPr>
          <w:cantSplit/>
          <w:tblHeader/>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Item</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shd w:fill="EAEAEA"/>
          </w:tcPr>
          <w:p>
            <w:pPr>
              <w:spacing w:line="360" w:lineRule="auto" w:after="0"/>
            </w:pPr>
            <w:r>
              <w:rPr>
                <w:rFonts w:ascii="Times New Roman" w:hAnsi="Times New Roman"/>
                <w:b/>
                <w:sz w:val="24"/>
              </w:rPr>
              <w:t>Requirement or setting</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Runtime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Linux x86_64; Python 3.12.14; scikit-learn 1.8.0; Flask 3.1.2; Gunicorn 23.0.0</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Tests and storage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pytest 9.1.1; pytest-cov 7.1.0; SQLite 3.53.1; writable database parent directory</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APP_SECRET_KEY</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Required random session-signing secret; injected externally; never committed</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DEMO_PASSWORD_HASH</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Required Werkzeug password hash; never store the password in source</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DEMO_USER</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Default technician; one prototype account</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DATABASE_PATH</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Default data/monitor.db; staging /app/state/monitor.db on a persistent volume</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COOKIE_SECURE</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0 only for loopback HTTP; 1 behind staging HTTPS</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Threshold configuration</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config/thresholds.json; SHA-256 prefix b1244d7709bf; restart after changes</w:t>
            </w:r>
          </w:p>
        </w:tc>
      </w:tr>
      <w:tr>
        <w:trPr>
          <w:cantSplit/>
        </w:trPr>
        <w:tc>
          <w:tcPr>
            <w:tcW w:type="dxa" w:w="252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Model configuration</w:t>
            </w:r>
          </w:p>
        </w:tc>
        <w:tc>
          <w:tcPr>
            <w:tcW w:type="dxa" w:w="6840"/>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line="360" w:lineRule="auto" w:after="0"/>
            </w:pPr>
            <w:r>
              <w:rPr>
                <w:rFonts w:ascii="Times New Roman" w:hAnsi="Times New Roman"/>
                <w:b w:val="0"/>
                <w:sz w:val="24"/>
              </w:rPr>
              <w:t>200 trees; contamination 0.08; seed 5910; fit at startup on development partition</w:t>
            </w:r>
          </w:p>
        </w:tc>
      </w:tr>
    </w:tbl>
    <w:p/>
    <w:p>
      <w:pPr>
        <w:pStyle w:val="Heading2"/>
      </w:pPr>
      <w:r>
        <w:t>Local Setup</w:t>
      </w:r>
    </w:p>
    <w:p>
      <w:pPr>
        <w:spacing w:line="360" w:lineRule="auto"/>
      </w:pPr>
      <w:r>
        <w:rPr>
          <w:rFonts w:ascii="Courier New" w:hAnsi="Courier New"/>
          <w:sz w:val="20"/>
        </w:rPr>
        <w:t>python -m venv .venv</w:t>
        <w:br/>
        <w:t>. .venv/bin/activate</w:t>
        <w:br/>
        <w:t>python -m pip install -r requirements.txt</w:t>
        <w:br/>
        <w:t>python src/generate_data.py</w:t>
        <w:br/>
        <w:t>python src/evaluate.py</w:t>
        <w:br/>
        <w:t>python -m pytest -q --cov=src --cov-branch --cov-report=json:results/unit6/coverage.json</w:t>
        <w:br/>
        <w:t>python -m compileall -q src</w:t>
        <w:br/>
        <w:t>python results/unit6/acceptance.py</w:t>
      </w:r>
    </w:p>
    <w:p>
      <w:r>
        <w:t>Prepare the session secret and password hash before starting Gunicorn. These commands prompt for the password without echoing it; secret values must remain outside Git.</w:t>
      </w:r>
    </w:p>
    <w:p>
      <w:pPr>
        <w:spacing w:line="360" w:lineRule="auto"/>
      </w:pPr>
      <w:r>
        <w:rPr>
          <w:rFonts w:ascii="Courier New" w:hAnsi="Courier New"/>
          <w:sz w:val="20"/>
        </w:rPr>
        <w:t>export APP_SECRET_KEY="$(python -c 'import secrets; print(secrets.token_hex(32))')"</w:t>
        <w:br/>
        <w:t>export DEMO_PASSWORD_HASH="$(python -c 'from getpass import getpass; from werkzeug.security import generate_password_hash; print(generate_password_hash(getpass("Demo password: ")))')"</w:t>
        <w:br/>
        <w:t>python -m gunicorn --chdir src --bind 127.0.0.1:8000 --workers 1 'app:create_app()'</w:t>
      </w:r>
    </w:p>
    <w:p>
      <w:pPr>
        <w:pStyle w:val="Heading2"/>
      </w:pPr>
      <w:r>
        <w:t>Proposed Docker Deployment</w:t>
      </w:r>
    </w:p>
    <w:p>
      <w:r>
        <w:t>The Docker sequence is planned and has not been executed. Supply the external secrets in a protected .env file. HTTPS is required when COOKIE_SECURE=1. Verify volume permissions, persistence after restart, and backup restoration before staging promotion.</w:t>
      </w:r>
    </w:p>
    <w:p>
      <w:pPr>
        <w:spacing w:line="360" w:lineRule="auto"/>
      </w:pPr>
      <w:r>
        <w:rPr>
          <w:rFonts w:ascii="Courier New" w:hAnsi="Courier New"/>
          <w:sz w:val="20"/>
        </w:rPr>
        <w:t>docker build -t msit5910:unit6 .</w:t>
        <w:br/>
        <w:t>docker volume create msit5910-state</w:t>
        <w:br/>
        <w:t>docker run --rm --env-file .env -p 127.0.0.1:8000:8000 \</w:t>
        <w:br/>
        <w:t xml:space="preserve">  --mount type=volume,src=msit5910-state,dst=/app/state msit5910:unit6</w:t>
      </w:r>
    </w:p>
    <w:p>
      <w:r>
        <w:t>Implementation and recorded results: https://github.com/Meherzaad/MSIT-5910/tree/211add31d02730a4c31c9063e09d9f78723c7d81. Integration review: https://github.com/Meherzaad/MSIT-5910/pull/4. Browser captures are archived from the earlier local demonstration; quantitative results correspond to the recorded Unit 6 execution.</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cstheme="majorBidi" w:ascii="Times New Roman" w:hAnsi="Times New Roman"/>
      <w:b/>
      <w:bCs/>
      <w:i w:val="0"/>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cstheme="majorBidi" w:ascii="Times New Roman" w:hAnsi="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Zakir H.</dc:creator>
  <cp:keywords/>
  <dc:description/>
  <cp:lastModifiedBy>Zakir H.</cp:lastModifiedBy>
  <cp:revision>1</cp:revision>
  <dcterms:created xsi:type="dcterms:W3CDTF">2013-12-23T23:15:00Z</dcterms:created>
  <dcterms:modified xsi:type="dcterms:W3CDTF">2013-12-23T23:15:00Z</dcterms:modified>
  <cp:category/>
</cp:coreProperties>
</file>