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AI Assisted Data Center Infrastructure Monitoring and Predictive Maintenance System</w:t>
      </w:r>
    </w:p>
    <w:p>
      <w:pPr>
        <w:jc w:val="center"/>
      </w:pPr>
      <w:r>
        <w:t>System Integration Performance Evaluation and Deployment Planning</w:t>
      </w:r>
    </w:p>
    <w:p>
      <w:pPr>
        <w:jc w:val="center"/>
      </w:pPr>
      <w:r>
        <w:t>Zakir H.</w:t>
      </w:r>
    </w:p>
    <w:p>
      <w:pPr>
        <w:jc w:val="center"/>
      </w:pPr>
      <w:r>
        <w:t>University of the People</w:t>
      </w:r>
    </w:p>
    <w:p>
      <w:pPr>
        <w:jc w:val="center"/>
      </w:pPr>
      <w:r>
        <w:t>Master of Science in Information Technology</w:t>
      </w:r>
    </w:p>
    <w:p>
      <w:pPr>
        <w:jc w:val="center"/>
      </w:pPr>
      <w:r>
        <w:t>MSIT 5910 Capstone Project</w:t>
      </w:r>
    </w:p>
    <w:p>
      <w:pPr>
        <w:jc w:val="center"/>
      </w:pPr>
      <w:r>
        <w:t>October 13, 2026</w:t>
      </w:r>
    </w:p>
    <w:p>
      <w:r>
        <w:br w:type="page"/>
      </w:r>
    </w:p>
    <w:p>
      <w:pPr>
        <w:pStyle w:val="Heading2"/>
      </w:pPr>
      <w:r>
        <w:t>Introduction</w:t>
      </w:r>
    </w:p>
    <w:p>
      <w:pPr>
        <w:pStyle w:val="Heading3"/>
      </w:pPr>
      <w:r>
        <w:t>Purpose and Research Question</w:t>
      </w:r>
    </w:p>
    <w:p>
      <w:pPr>
        <w:ind w:firstLine="720"/>
      </w:pPr>
      <w:r>
        <w:t>The AI Assisted Data Center Infrastructure Monitoring and Predictive Maintenance System now integrates a browser interface, authenticated API, reusable detection service, and SQLite persistence. Building on Units 4 and 5, it asks how effectively transparent thresholds and Isolation Forest identify abnormal synthetic telemetry while supporting technician investigation. The integrated workflow operates locally; failure forecasting and operational effectiveness remain unproven. Engineering evidence connects implementation, testing, and configuration control (Summers, 2020).</w:t>
      </w:r>
    </w:p>
    <w:p>
      <w:pPr>
        <w:pStyle w:val="Heading1"/>
      </w:pPr>
      <w:r>
        <w:t>Part A: System Integration &amp; Feature Completion</w:t>
      </w:r>
    </w:p>
    <w:p>
      <w:pPr>
        <w:pStyle w:val="Heading3"/>
      </w:pPr>
      <w:r>
        <w:t>Architecture and Module Responsibilities</w:t>
      </w:r>
    </w:p>
    <w:p>
      <w:pPr>
        <w:ind w:firstLine="720"/>
      </w:pPr>
      <w:r>
        <w:t>Figure 1 maps the implemented architecture. The generator creates 12,000 observations using seed 5910. Validation checks six finite numeric readings against declared bounds. The baseline compares five readings with versioned thresholds. Isolation Forest uses six features, 200 trees, contamination 0.08, and the same seed. Training and scaling use only 9,600 development observations; evaluation uses the remaining 2,400. The service fits once at startup, exposes both predictions, and keeps the forest experimental. Anomaly identification does not establish impending failure (Ruff et al., 2021).</w:t>
      </w:r>
    </w:p>
    <w:p>
      <w:pPr>
        <w:keepNext/>
      </w:pPr>
      <w:r>
        <w:rPr>
          <w:b/>
        </w:rPr>
        <w:t>Figure 1</w:t>
      </w:r>
    </w:p>
    <w:p>
      <w:pPr>
        <w:keepNext/>
      </w:pPr>
      <w:r>
        <w:rPr>
          <w:i/>
        </w:rPr>
        <w:t>Implemented system architecture</w:t>
      </w:r>
    </w:p>
    <w:p>
      <w:pPr>
        <w:keepNext/>
        <w:spacing w:line="240" w:lineRule="auto"/>
      </w:pPr>
      <w:r>
        <w:drawing>
          <wp:inline xmlns:a="http://schemas.openxmlformats.org/drawingml/2006/main" xmlns:pic="http://schemas.openxmlformats.org/drawingml/2006/picture">
            <wp:extent cx="5943600" cy="4206380"/>
            <wp:docPr id="1" name="Picture 1"/>
            <wp:cNvGraphicFramePr>
              <a:graphicFrameLocks noChangeAspect="1"/>
            </wp:cNvGraphicFramePr>
            <a:graphic>
              <a:graphicData uri="http://schemas.openxmlformats.org/drawingml/2006/picture">
                <pic:pic>
                  <pic:nvPicPr>
                    <pic:cNvPr id="0" name="original-1.png"/>
                    <pic:cNvPicPr/>
                  </pic:nvPicPr>
                  <pic:blipFill>
                    <a:blip r:embed="rId10"/>
                    <a:stretch>
                      <a:fillRect/>
                    </a:stretch>
                  </pic:blipFill>
                  <pic:spPr>
                    <a:xfrm>
                      <a:off x="0" y="0"/>
                      <a:ext cx="5943600" cy="4206380"/>
                    </a:xfrm>
                    <a:prstGeom prst="rect"/>
                  </pic:spPr>
                </pic:pic>
              </a:graphicData>
            </a:graphic>
          </wp:inline>
        </w:drawing>
      </w:r>
    </w:p>
    <w:p>
      <w:pPr>
        <w:pStyle w:val="Caption"/>
      </w:pPr>
      <w:r>
        <w:t>Note. Presentation, API, detection, and storage are separate modules. Only development observations fit the forest.</w:t>
      </w:r>
    </w:p>
    <w:p>
      <w:pPr>
        <w:keepNext/>
      </w:pPr>
      <w:r>
        <w:rPr>
          <w:b/>
        </w:rPr>
        <w:t>Figure 2a</w:t>
      </w:r>
    </w:p>
    <w:p>
      <w:pPr>
        <w:keepNext/>
      </w:pPr>
      <w:r>
        <w:rPr>
          <w:i/>
        </w:rPr>
        <w:t>Generation validation and threshold logic</w:t>
      </w:r>
    </w:p>
    <w:p>
      <w:pPr>
        <w:keepNext/>
        <w:spacing w:line="240" w:lineRule="auto"/>
      </w:pPr>
      <w:r>
        <w:drawing>
          <wp:inline xmlns:a="http://schemas.openxmlformats.org/drawingml/2006/main" xmlns:pic="http://schemas.openxmlformats.org/drawingml/2006/picture">
            <wp:extent cx="5943600" cy="6742271"/>
            <wp:docPr id="2" name="Picture 2"/>
            <wp:cNvGraphicFramePr>
              <a:graphicFrameLocks noChangeAspect="1"/>
            </wp:cNvGraphicFramePr>
            <a:graphic>
              <a:graphicData uri="http://schemas.openxmlformats.org/drawingml/2006/picture">
                <pic:pic>
                  <pic:nvPicPr>
                    <pic:cNvPr id="0" name="core-a.png"/>
                    <pic:cNvPicPr/>
                  </pic:nvPicPr>
                  <pic:blipFill>
                    <a:blip r:embed="rId11"/>
                    <a:stretch>
                      <a:fillRect/>
                    </a:stretch>
                  </pic:blipFill>
                  <pic:spPr>
                    <a:xfrm>
                      <a:off x="0" y="0"/>
                      <a:ext cx="5943600" cy="6742271"/>
                    </a:xfrm>
                    <a:prstGeom prst="rect"/>
                  </pic:spPr>
                </pic:pic>
              </a:graphicData>
            </a:graphic>
          </wp:inline>
        </w:drawing>
      </w:r>
    </w:p>
    <w:p>
      <w:pPr>
        <w:pStyle w:val="Caption"/>
      </w:pPr>
      <w:r>
        <w:t>Note. Executable source excerpts from the integration branch; line numbers identify the source locations.</w:t>
      </w:r>
    </w:p>
    <w:p>
      <w:pPr>
        <w:keepNext/>
      </w:pPr>
      <w:r>
        <w:rPr>
          <w:b/>
        </w:rPr>
        <w:t>Figure 2b</w:t>
      </w:r>
    </w:p>
    <w:p>
      <w:pPr>
        <w:keepNext/>
      </w:pPr>
      <w:r>
        <w:rPr>
          <w:i/>
        </w:rPr>
        <w:t>Learned detection and comparable evaluation</w:t>
      </w:r>
    </w:p>
    <w:p>
      <w:pPr>
        <w:keepNext/>
        <w:spacing w:line="240" w:lineRule="auto"/>
      </w:pPr>
      <w:r>
        <w:drawing>
          <wp:inline xmlns:a="http://schemas.openxmlformats.org/drawingml/2006/main" xmlns:pic="http://schemas.openxmlformats.org/drawingml/2006/picture">
            <wp:extent cx="5943600" cy="6489668"/>
            <wp:docPr id="3" name="Picture 3"/>
            <wp:cNvGraphicFramePr>
              <a:graphicFrameLocks noChangeAspect="1"/>
            </wp:cNvGraphicFramePr>
            <a:graphic>
              <a:graphicData uri="http://schemas.openxmlformats.org/drawingml/2006/picture">
                <pic:pic>
                  <pic:nvPicPr>
                    <pic:cNvPr id="0" name="core-b.png"/>
                    <pic:cNvPicPr/>
                  </pic:nvPicPr>
                  <pic:blipFill>
                    <a:blip r:embed="rId12"/>
                    <a:stretch>
                      <a:fillRect/>
                    </a:stretch>
                  </pic:blipFill>
                  <pic:spPr>
                    <a:xfrm>
                      <a:off x="0" y="0"/>
                      <a:ext cx="5943600" cy="6489668"/>
                    </a:xfrm>
                    <a:prstGeom prst="rect"/>
                  </pic:spPr>
                </pic:pic>
              </a:graphicData>
            </a:graphic>
          </wp:inline>
        </w:drawing>
      </w:r>
    </w:p>
    <w:p>
      <w:pPr>
        <w:pStyle w:val="Caption"/>
      </w:pPr>
      <w:r>
        <w:t>Note. Executable source excerpts from the integration branch; line numbers identify the source locations.</w:t>
      </w:r>
    </w:p>
    <w:p>
      <w:pPr>
        <w:pStyle w:val="Heading3"/>
      </w:pPr>
      <w:r>
        <w:t>Demonstrated Inputs and Outputs</w:t>
      </w:r>
    </w:p>
    <w:p>
      <w:pPr>
        <w:ind w:firstLine="720"/>
      </w:pPr>
      <w:r>
        <w:t>Figures 2-5 show source captures and actual browser outputs. The normal input contains CPU 50%, memory 60%, storage 70%, network 400 Mbps, device temperature 55°C, and environment temperature 24°C. It returns HTTP 201 and baseline label zero. Changing device temperature to 90°C returns label one and the explanation “temperature_c: 90 &gt;= 82.” The forest labels this hot example typical, visibly demonstrating disagreement. A negative CPU reading returns HTTP 400 and is not saved. Acknowledging the hot observation changes its stored status and creates an audit record; acknowledgement does not certify repair.</w:t>
      </w:r>
    </w:p>
    <w:p>
      <w:pPr>
        <w:pStyle w:val="Heading3"/>
      </w:pPr>
      <w:r>
        <w:t>Communication and Security</w:t>
      </w:r>
    </w:p>
    <w:p>
      <w:pPr>
        <w:ind w:firstLine="720"/>
      </w:pPr>
      <w:r>
        <w:t>The browser submits JSON through fetch to POST /api/analyze. The API checks authentication and the session CSRF token before validation and detection. Store.save uses parameterized SQL and commits before returning the observation identifier. GET /api/observations retrieves recent records; the acknowledgement endpoint updates only open alerts and records the actor atomically. Figure 3 documents these connections and checks. Password hashing, HttpOnly cookies, strict SameSite settings, request-size limits, and restrictive response headers support the local prototype. Single-user authentication, absent login throttling, and unencrypted SQLite constrain deployment.</w:t>
      </w:r>
    </w:p>
    <w:p>
      <w:pPr>
        <w:keepNext/>
      </w:pPr>
      <w:r>
        <w:rPr>
          <w:b/>
        </w:rPr>
        <w:t>Figure 3a</w:t>
      </w:r>
    </w:p>
    <w:p>
      <w:pPr>
        <w:keepNext/>
      </w:pPr>
      <w:r>
        <w:rPr>
          <w:i/>
        </w:rPr>
        <w:t>Browser API and detector communication</w:t>
      </w:r>
    </w:p>
    <w:p>
      <w:pPr>
        <w:keepNext/>
        <w:spacing w:line="240" w:lineRule="auto"/>
      </w:pPr>
      <w:r>
        <w:drawing>
          <wp:inline xmlns:a="http://schemas.openxmlformats.org/drawingml/2006/main" xmlns:pic="http://schemas.openxmlformats.org/drawingml/2006/picture">
            <wp:extent cx="5943600" cy="6742271"/>
            <wp:docPr id="4" name="Picture 4"/>
            <wp:cNvGraphicFramePr>
              <a:graphicFrameLocks noChangeAspect="1"/>
            </wp:cNvGraphicFramePr>
            <a:graphic>
              <a:graphicData uri="http://schemas.openxmlformats.org/drawingml/2006/picture">
                <pic:pic>
                  <pic:nvPicPr>
                    <pic:cNvPr id="0" name="link-a.png"/>
                    <pic:cNvPicPr/>
                  </pic:nvPicPr>
                  <pic:blipFill>
                    <a:blip r:embed="rId13"/>
                    <a:stretch>
                      <a:fillRect/>
                    </a:stretch>
                  </pic:blipFill>
                  <pic:spPr>
                    <a:xfrm>
                      <a:off x="0" y="0"/>
                      <a:ext cx="5943600" cy="6742271"/>
                    </a:xfrm>
                    <a:prstGeom prst="rect"/>
                  </pic:spPr>
                </pic:pic>
              </a:graphicData>
            </a:graphic>
          </wp:inline>
        </w:drawing>
      </w:r>
    </w:p>
    <w:p>
      <w:pPr>
        <w:pStyle w:val="Caption"/>
      </w:pPr>
      <w:r>
        <w:t>Note. Executable source excerpts show module calls and parameterized SQL. Successful creation follows the committed insert.</w:t>
      </w:r>
    </w:p>
    <w:p>
      <w:pPr>
        <w:keepNext/>
      </w:pPr>
      <w:r>
        <w:rPr>
          <w:b/>
        </w:rPr>
        <w:t>Figure 3b</w:t>
      </w:r>
    </w:p>
    <w:p>
      <w:pPr>
        <w:keepNext/>
      </w:pPr>
      <w:r>
        <w:rPr>
          <w:i/>
        </w:rPr>
        <w:t>Database persistence and atomic acknowledgement</w:t>
      </w:r>
    </w:p>
    <w:p>
      <w:pPr>
        <w:keepNext/>
        <w:spacing w:line="240" w:lineRule="auto"/>
      </w:pPr>
      <w:r>
        <w:drawing>
          <wp:inline xmlns:a="http://schemas.openxmlformats.org/drawingml/2006/main" xmlns:pic="http://schemas.openxmlformats.org/drawingml/2006/picture">
            <wp:extent cx="5943600" cy="5479256"/>
            <wp:docPr id="5" name="Picture 5"/>
            <wp:cNvGraphicFramePr>
              <a:graphicFrameLocks noChangeAspect="1"/>
            </wp:cNvGraphicFramePr>
            <a:graphic>
              <a:graphicData uri="http://schemas.openxmlformats.org/drawingml/2006/picture">
                <pic:pic>
                  <pic:nvPicPr>
                    <pic:cNvPr id="0" name="link-b.png"/>
                    <pic:cNvPicPr/>
                  </pic:nvPicPr>
                  <pic:blipFill>
                    <a:blip r:embed="rId14"/>
                    <a:stretch>
                      <a:fillRect/>
                    </a:stretch>
                  </pic:blipFill>
                  <pic:spPr>
                    <a:xfrm>
                      <a:off x="0" y="0"/>
                      <a:ext cx="5943600" cy="5479256"/>
                    </a:xfrm>
                    <a:prstGeom prst="rect"/>
                  </pic:spPr>
                </pic:pic>
              </a:graphicData>
            </a:graphic>
          </wp:inline>
        </w:drawing>
      </w:r>
    </w:p>
    <w:p>
      <w:pPr>
        <w:pStyle w:val="Caption"/>
      </w:pPr>
      <w:r>
        <w:t>Note. Executable source excerpts show module calls and parameterized SQL. Successful creation follows the committed insert.</w:t>
      </w:r>
    </w:p>
    <w:p>
      <w:pPr>
        <w:keepNext/>
      </w:pPr>
      <w:r>
        <w:rPr>
          <w:b/>
        </w:rPr>
        <w:t>Figure 4</w:t>
      </w:r>
    </w:p>
    <w:p>
      <w:pPr>
        <w:keepNext/>
      </w:pPr>
      <w:r>
        <w:rPr>
          <w:i/>
        </w:rPr>
        <w:t>Hot telemetry and detector disagreement</w:t>
      </w:r>
    </w:p>
    <w:p>
      <w:pPr>
        <w:keepNext/>
        <w:spacing w:line="240" w:lineRule="auto"/>
      </w:pPr>
      <w:r>
        <w:drawing>
          <wp:inline xmlns:a="http://schemas.openxmlformats.org/drawingml/2006/main" xmlns:pic="http://schemas.openxmlformats.org/drawingml/2006/picture">
            <wp:extent cx="5943600" cy="5860018"/>
            <wp:docPr id="6" name="Picture 6"/>
            <wp:cNvGraphicFramePr>
              <a:graphicFrameLocks noChangeAspect="1"/>
            </wp:cNvGraphicFramePr>
            <a:graphic>
              <a:graphicData uri="http://schemas.openxmlformats.org/drawingml/2006/picture">
                <pic:pic>
                  <pic:nvPicPr>
                    <pic:cNvPr id="0" name="original-17.png"/>
                    <pic:cNvPicPr/>
                  </pic:nvPicPr>
                  <pic:blipFill>
                    <a:blip r:embed="rId15"/>
                    <a:stretch>
                      <a:fillRect/>
                    </a:stretch>
                  </pic:blipFill>
                  <pic:spPr>
                    <a:xfrm>
                      <a:off x="0" y="0"/>
                      <a:ext cx="5943600" cy="5860018"/>
                    </a:xfrm>
                    <a:prstGeom prst="rect"/>
                  </pic:spPr>
                </pic:pic>
              </a:graphicData>
            </a:graphic>
          </wp:inline>
        </w:drawing>
      </w:r>
    </w:p>
    <w:p>
      <w:pPr>
        <w:pStyle w:val="Caption"/>
      </w:pPr>
      <w:r>
        <w:t>Note. Archived browser demonstration. Device temperature is 90 C; the baseline requests investigation while the experimental forest classifies the vector as typical. Figure 8 records the fresh normal and hot HTTP outputs.</w:t>
      </w:r>
    </w:p>
    <w:p>
      <w:pPr>
        <w:keepNext/>
      </w:pPr>
      <w:r>
        <w:rPr>
          <w:b/>
        </w:rPr>
        <w:t>Figure 5</w:t>
      </w:r>
    </w:p>
    <w:p>
      <w:pPr>
        <w:keepNext/>
      </w:pPr>
      <w:r>
        <w:rPr>
          <w:i/>
        </w:rPr>
        <w:t>Persistent alert acknowledgement</w:t>
      </w:r>
    </w:p>
    <w:p>
      <w:pPr>
        <w:keepNext/>
        <w:spacing w:line="240" w:lineRule="auto"/>
      </w:pPr>
      <w:r>
        <w:drawing>
          <wp:inline xmlns:a="http://schemas.openxmlformats.org/drawingml/2006/main" xmlns:pic="http://schemas.openxmlformats.org/drawingml/2006/picture">
            <wp:extent cx="5943600" cy="5791914"/>
            <wp:docPr id="7" name="Picture 7"/>
            <wp:cNvGraphicFramePr>
              <a:graphicFrameLocks noChangeAspect="1"/>
            </wp:cNvGraphicFramePr>
            <a:graphic>
              <a:graphicData uri="http://schemas.openxmlformats.org/drawingml/2006/picture">
                <pic:pic>
                  <pic:nvPicPr>
                    <pic:cNvPr id="0" name="original-18.png"/>
                    <pic:cNvPicPr/>
                  </pic:nvPicPr>
                  <pic:blipFill>
                    <a:blip r:embed="rId16"/>
                    <a:stretch>
                      <a:fillRect/>
                    </a:stretch>
                  </pic:blipFill>
                  <pic:spPr>
                    <a:xfrm>
                      <a:off x="0" y="0"/>
                      <a:ext cx="5943600" cy="5791914"/>
                    </a:xfrm>
                    <a:prstGeom prst="rect"/>
                  </pic:spPr>
                </pic:pic>
              </a:graphicData>
            </a:graphic>
          </wp:inline>
        </w:drawing>
      </w:r>
    </w:p>
    <w:p>
      <w:pPr>
        <w:pStyle w:val="Caption"/>
      </w:pPr>
      <w:r>
        <w:t>Note. Archived browser demonstration. Fresh HTTP and reopened SQLite checks confirm observation 2 is acknowledged and its audit event persists. Acknowledgement does not certify repair.</w:t>
      </w:r>
    </w:p>
    <w:p>
      <w:pPr>
        <w:keepNext/>
      </w:pPr>
      <w:r>
        <w:rPr>
          <w:b/>
        </w:rPr>
        <w:t>Figure 6</w:t>
      </w:r>
    </w:p>
    <w:p>
      <w:pPr>
        <w:keepNext/>
      </w:pPr>
      <w:r>
        <w:rPr>
          <w:i/>
        </w:rPr>
        <w:t>Prototype authentication interface</w:t>
      </w:r>
    </w:p>
    <w:p>
      <w:pPr>
        <w:keepNext/>
        <w:spacing w:line="240" w:lineRule="auto"/>
      </w:pPr>
      <w:r>
        <w:drawing>
          <wp:inline xmlns:a="http://schemas.openxmlformats.org/drawingml/2006/main" xmlns:pic="http://schemas.openxmlformats.org/drawingml/2006/picture">
            <wp:extent cx="4114800" cy="3471862"/>
            <wp:docPr id="8" name="Picture 8"/>
            <wp:cNvGraphicFramePr>
              <a:graphicFrameLocks noChangeAspect="1"/>
            </wp:cNvGraphicFramePr>
            <a:graphic>
              <a:graphicData uri="http://schemas.openxmlformats.org/drawingml/2006/picture">
                <pic:pic>
                  <pic:nvPicPr>
                    <pic:cNvPr id="0" name="original-19.png"/>
                    <pic:cNvPicPr/>
                  </pic:nvPicPr>
                  <pic:blipFill>
                    <a:blip r:embed="rId17"/>
                    <a:stretch>
                      <a:fillRect/>
                    </a:stretch>
                  </pic:blipFill>
                  <pic:spPr>
                    <a:xfrm>
                      <a:off x="0" y="0"/>
                      <a:ext cx="4114800" cy="3471862"/>
                    </a:xfrm>
                    <a:prstGeom prst="rect"/>
                  </pic:spPr>
                </pic:pic>
              </a:graphicData>
            </a:graphic>
          </wp:inline>
        </w:drawing>
      </w:r>
    </w:p>
    <w:p>
      <w:pPr>
        <w:pStyle w:val="Caption"/>
      </w:pPr>
      <w:r>
        <w:t>Note. Archived login view. Current automated tests verify protected API access and invalid credentials; the interface uses one prototype account.</w:t>
      </w:r>
    </w:p>
    <w:p>
      <w:pPr>
        <w:pStyle w:val="Heading1"/>
      </w:pPr>
      <w:r>
        <w:t>Part B: System Evaluation &amp; Metrics Reporting</w:t>
      </w:r>
    </w:p>
    <w:p>
      <w:pPr>
        <w:pStyle w:val="Heading3"/>
      </w:pPr>
      <w:r>
        <w:t>Quantitative Protocol and Findings</w:t>
      </w:r>
    </w:p>
    <w:p>
      <w:pPr>
        <w:ind w:firstLine="720"/>
      </w:pPr>
      <w:r>
        <w:t>Table 1 and Figure 7 report measured outcomes. Both detectors evaluate 174 injected anomalies and 2,226 normal records. The baseline produces 174 true positives, 19 false positives, zero false negatives, and 2,207 true negatives. Its precision is 0.902, recall 1.000, F1 0.948, and false-positive rate 0.0085. Isolation Forest produces 107, 82, 67, and 2,144 respectively: precision 0.566, recall 0.615, F1 0.590, and false-positive rate 0.0368. The baseline satisfies Unit 5 targets of F1 and recall at least 0.90 and false-positive rate below 0.02; the forest fails. Threshold-aligned synthetic labels favor the baseline, preventing claims of operational superiority. Benchmark diversity matters when assessing anomaly detectors (Han et al., 2022).</w:t>
      </w:r>
    </w:p>
    <w:p>
      <w:pPr>
        <w:pStyle w:val="Heading3"/>
      </w:pPr>
      <w:r>
        <w:t>Latency Throughput and Reliability</w:t>
      </w:r>
    </w:p>
    <w:p>
      <w:pPr>
        <w:ind w:firstLine="720"/>
      </w:pPr>
      <w:r>
        <w:t>Three serial batches of 100 authenticated loopback requests followed ten warmups under one Gunicorn worker. Measurements include validation, both predictions, and SQLite commit, excluding login, startup, and browser rendering. Median latency ranged 11.99–12.09 milliseconds, batch p95 ranged 14.91–19.93 milliseconds, and throughput ranged 75.48–79.48 requests per second; all 300 requests succeeded. Figures 8 and 9 show the recorded outputs. The suite passes 59 tests. Statement coverage is 278/283, or 98.23%; branch coverage is 55/58, or 94.83%. The combined score is 333/341, or 97.65%, displayed as 98%. Unit 5 combined 118/123 statements and 33/36 branches to obtain 151/159, or 94.97%, displayed as 95%. Uncovered command-line entry paths leave launch behavior and associated failure conditions incompletely tested. Successful smoke runs provide separate evidence but do not change the coverage denominator.</w:t>
      </w:r>
    </w:p>
    <w:p>
      <w:pPr>
        <w:keepNext/>
      </w:pPr>
      <w:r>
        <w:rPr>
          <w:b/>
        </w:rPr>
        <w:t>Table 1</w:t>
      </w:r>
    </w:p>
    <w:p>
      <w:pPr>
        <w:keepNext/>
      </w:pPr>
      <w:r>
        <w:rPr>
          <w:i/>
        </w:rPr>
        <w:t>Held out detector results</w:t>
      </w:r>
    </w:p>
    <w:tbl>
      <w:tblPr>
        <w:tblW w:type="auto" w:w="0"/>
        <w:tblLayout w:type="fixed"/>
        <w:tblLook w:firstColumn="1" w:firstRow="1" w:lastColumn="0" w:lastRow="0" w:noHBand="0" w:noVBand="1" w:val="04A0"/>
      </w:tblPr>
      <w:tblGrid>
        <w:gridCol w:w="2376"/>
        <w:gridCol w:w="2232"/>
        <w:gridCol w:w="2088"/>
        <w:gridCol w:w="266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Metric</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Threshold baseline</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Isolation Forest</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Interpretation</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Precision</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0.9016</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0.5661</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Baseline stronger on these fixtures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Recall</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1.0000</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0.6149</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Forest misses 67/174 injected anomalies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F1</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0.9482</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0.5895</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Target ≥ 0.90; forest fails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False positive rate</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0.0085</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0.0368</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Target &lt; 0.02; forest fails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TP / FP / FN / TN</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174 / 19 / 0 / 2,207</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107 / 82 / 67 / 2,144</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Same 2,400 held-out records</w:t>
            </w:r>
          </w:p>
        </w:tc>
      </w:tr>
    </w:tbl>
    <w:p/>
    <w:p>
      <w:pPr>
        <w:keepNext/>
      </w:pPr>
      <w:r>
        <w:rPr>
          <w:b/>
        </w:rPr>
        <w:t>Table 2</w:t>
      </w:r>
    </w:p>
    <w:p>
      <w:pPr>
        <w:keepNext/>
      </w:pPr>
      <w:r>
        <w:rPr>
          <w:i/>
        </w:rPr>
        <w:t>Integrated request performance</w:t>
      </w:r>
    </w:p>
    <w:tbl>
      <w:tblPr>
        <w:tblW w:type="auto" w:w="0"/>
        <w:tblLayout w:type="fixed"/>
        <w:tblLook w:firstColumn="1" w:firstRow="1" w:lastColumn="0" w:lastRow="0" w:noHBand="0" w:noVBand="1" w:val="04A0"/>
      </w:tblPr>
      <w:tblGrid>
        <w:gridCol w:w="2376"/>
        <w:gridCol w:w="2232"/>
        <w:gridCol w:w="2088"/>
        <w:gridCol w:w="266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Batch</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Median ms</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p95 ms</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keepNext/>
              <w:spacing w:line="264" w:lineRule="auto" w:after="40"/>
            </w:pPr>
            <w:r>
              <w:rPr>
                <w:b/>
                <w:sz w:val="20"/>
              </w:rPr>
              <w:t>Requests/s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11.99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14.91</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79.48</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2</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11.99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18.16</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keepNext/>
              <w:spacing w:line="264" w:lineRule="auto" w:after="40"/>
            </w:pPr>
            <w:r>
              <w:rPr>
                <w:b w:val="0"/>
                <w:sz w:val="20"/>
              </w:rPr>
              <w:t>75.48</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3</w:t>
            </w:r>
          </w:p>
        </w:tc>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12.09</w:t>
            </w:r>
          </w:p>
        </w:tc>
        <w:tc>
          <w:tcPr>
            <w:tcW w:type="dxa" w:w="2088"/>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19.93</w:t>
            </w:r>
          </w:p>
        </w:tc>
        <w:tc>
          <w:tcPr>
            <w:tcW w:type="dxa" w:w="266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76.24</w:t>
            </w:r>
          </w:p>
        </w:tc>
      </w:tr>
    </w:tbl>
    <w:p/>
    <w:p>
      <w:pPr>
        <w:keepNext/>
      </w:pPr>
      <w:r>
        <w:rPr>
          <w:b/>
        </w:rPr>
        <w:t>Figure 7</w:t>
      </w:r>
    </w:p>
    <w:p>
      <w:pPr>
        <w:keepNext/>
      </w:pPr>
      <w:r>
        <w:rPr>
          <w:i/>
        </w:rPr>
        <w:t>Detection comparison and request latency</w:t>
      </w:r>
    </w:p>
    <w:p>
      <w:pPr>
        <w:keepNext/>
        <w:spacing w:line="240" w:lineRule="auto"/>
      </w:pPr>
      <w:r>
        <w:drawing>
          <wp:inline xmlns:a="http://schemas.openxmlformats.org/drawingml/2006/main" xmlns:pic="http://schemas.openxmlformats.org/drawingml/2006/picture">
            <wp:extent cx="5943600" cy="1901952"/>
            <wp:docPr id="9" name="Picture 9"/>
            <wp:cNvGraphicFramePr>
              <a:graphicFrameLocks noChangeAspect="1"/>
            </wp:cNvGraphicFramePr>
            <a:graphic>
              <a:graphicData uri="http://schemas.openxmlformats.org/drawingml/2006/picture">
                <pic:pic>
                  <pic:nvPicPr>
                    <pic:cNvPr id="0" name="chart.png"/>
                    <pic:cNvPicPr/>
                  </pic:nvPicPr>
                  <pic:blipFill>
                    <a:blip r:embed="rId18"/>
                    <a:stretch>
                      <a:fillRect/>
                    </a:stretch>
                  </pic:blipFill>
                  <pic:spPr>
                    <a:xfrm>
                      <a:off x="0" y="0"/>
                      <a:ext cx="5943600" cy="1901952"/>
                    </a:xfrm>
                    <a:prstGeom prst="rect"/>
                  </pic:spPr>
                </pic:pic>
              </a:graphicData>
            </a:graphic>
          </wp:inline>
        </w:drawing>
      </w:r>
    </w:p>
    <w:p>
      <w:pPr>
        <w:pStyle w:val="Caption"/>
      </w:pPr>
      <w:r>
        <w:t>Note. Charts use executed outputs. Threshold-aligned synthetic labels favor the baseline. All 300 measured requests succeeded.</w:t>
      </w:r>
    </w:p>
    <w:p>
      <w:pPr>
        <w:keepNext/>
      </w:pPr>
      <w:r>
        <w:rPr>
          <w:b/>
        </w:rPr>
        <w:t>Figure 8</w:t>
      </w:r>
    </w:p>
    <w:p>
      <w:pPr>
        <w:keepNext/>
      </w:pPr>
      <w:r>
        <w:rPr>
          <w:i/>
        </w:rPr>
        <w:t>HTTP inputs outputs and measured performance</w:t>
      </w:r>
    </w:p>
    <w:p>
      <w:pPr>
        <w:keepNext/>
        <w:spacing w:line="240" w:lineRule="auto"/>
      </w:pPr>
      <w:r>
        <w:drawing>
          <wp:inline xmlns:a="http://schemas.openxmlformats.org/drawingml/2006/main" xmlns:pic="http://schemas.openxmlformats.org/drawingml/2006/picture">
            <wp:extent cx="5943600" cy="4468844"/>
            <wp:docPr id="10" name="Picture 10"/>
            <wp:cNvGraphicFramePr>
              <a:graphicFrameLocks noChangeAspect="1"/>
            </wp:cNvGraphicFramePr>
            <a:graphic>
              <a:graphicData uri="http://schemas.openxmlformats.org/drawingml/2006/picture">
                <pic:pic>
                  <pic:nvPicPr>
                    <pic:cNvPr id="0" name="http.png"/>
                    <pic:cNvPicPr/>
                  </pic:nvPicPr>
                  <pic:blipFill>
                    <a:blip r:embed="rId19"/>
                    <a:stretch>
                      <a:fillRect/>
                    </a:stretch>
                  </pic:blipFill>
                  <pic:spPr>
                    <a:xfrm>
                      <a:off x="0" y="0"/>
                      <a:ext cx="5943600" cy="4468844"/>
                    </a:xfrm>
                    <a:prstGeom prst="rect"/>
                  </pic:spPr>
                </pic:pic>
              </a:graphicData>
            </a:graphic>
          </wp:inline>
        </w:drawing>
      </w:r>
    </w:p>
    <w:p>
      <w:pPr>
        <w:pStyle w:val="Caption"/>
      </w:pPr>
      <w:r>
        <w:t>Note. Ten warmups preceded three serial batches of 100 authenticated requests under one Gunicorn worker. Results are local measurements rather than concurrent capacity estimates.</w:t>
      </w:r>
    </w:p>
    <w:p>
      <w:pPr>
        <w:keepNext/>
      </w:pPr>
      <w:r>
        <w:rPr>
          <w:b/>
        </w:rPr>
        <w:t>Figure 9</w:t>
      </w:r>
    </w:p>
    <w:p>
      <w:pPr>
        <w:keepNext/>
      </w:pPr>
      <w:r>
        <w:rPr>
          <w:i/>
        </w:rPr>
        <w:t>Automated tests and coverage</w:t>
      </w:r>
    </w:p>
    <w:p>
      <w:pPr>
        <w:keepNext/>
        <w:spacing w:line="240" w:lineRule="auto"/>
      </w:pPr>
      <w:r>
        <w:drawing>
          <wp:inline xmlns:a="http://schemas.openxmlformats.org/drawingml/2006/main" xmlns:pic="http://schemas.openxmlformats.org/drawingml/2006/picture">
            <wp:extent cx="5943600" cy="3458432"/>
            <wp:docPr id="11" name="Picture 11"/>
            <wp:cNvGraphicFramePr>
              <a:graphicFrameLocks noChangeAspect="1"/>
            </wp:cNvGraphicFramePr>
            <a:graphic>
              <a:graphicData uri="http://schemas.openxmlformats.org/drawingml/2006/picture">
                <pic:pic>
                  <pic:nvPicPr>
                    <pic:cNvPr id="0" name="tests.png"/>
                    <pic:cNvPicPr/>
                  </pic:nvPicPr>
                  <pic:blipFill>
                    <a:blip r:embed="rId20"/>
                    <a:stretch>
                      <a:fillRect/>
                    </a:stretch>
                  </pic:blipFill>
                  <pic:spPr>
                    <a:xfrm>
                      <a:off x="0" y="0"/>
                      <a:ext cx="5943600" cy="3458432"/>
                    </a:xfrm>
                    <a:prstGeom prst="rect"/>
                  </pic:spPr>
                </pic:pic>
              </a:graphicData>
            </a:graphic>
          </wp:inline>
        </w:drawing>
      </w:r>
    </w:p>
    <w:p>
      <w:pPr>
        <w:pStyle w:val="Caption"/>
      </w:pPr>
      <w:r>
        <w:t>Note. The current run passes 59 tests. Statement and branch denominators are reported separately; executable entry paths remain uncovered in this coverage run.</w:t>
      </w:r>
    </w:p>
    <w:p>
      <w:pPr>
        <w:pStyle w:val="Heading3"/>
      </w:pPr>
      <w:r>
        <w:t>Qualitative Interface Assessment</w:t>
      </w:r>
    </w:p>
    <w:p>
      <w:pPr>
        <w:ind w:firstLine="720"/>
      </w:pPr>
      <w:r>
        <w:t>A structured implementation walkthrough assessed clarity, feedback, and review semantics using normal submission, hot submission, and acknowledgement tasks. Screenshots show explicit units, readable breach reasons, visible experimental-model disagreement, saved identifiers, and persistent status changes. Terminology such as cpu_pct remains technical, and the latest-record table lacks pagination and filtering. These observations support formative interface assessment, not participant satisfaction or a System Usability Scale score. Numerical and descriptive evidence answer different evaluation questions (Brereton, 2023; Wells, 2025). GeeksforGeeks (2025) identifies usability alongside reliability and performance. Five-technician testing remains planned, with at least 80% task completion and SUS at least 70 as targets. Zhao et al. (2019) provide a scholarly open-source comparison framework; PyOD is not a dependency here.</w:t>
      </w:r>
    </w:p>
    <w:p>
      <w:pPr>
        <w:keepNext/>
      </w:pPr>
      <w:r>
        <w:rPr>
          <w:b/>
        </w:rPr>
        <w:t>Table Q1</w:t>
      </w:r>
    </w:p>
    <w:p>
      <w:pPr>
        <w:keepNext/>
      </w:pPr>
      <w:r>
        <w:rPr>
          <w:i/>
        </w:rPr>
        <w:t>Qualitative interface clarity findings</w:t>
      </w:r>
    </w:p>
    <w:tbl>
      <w:tblPr>
        <w:tblW w:type="auto" w:w="0"/>
        <w:tblLayout w:type="fixed"/>
        <w:tblLook w:firstColumn="1" w:firstRow="1" w:lastColumn="0" w:lastRow="0" w:noHBand="0" w:noVBand="1" w:val="04A0"/>
      </w:tblPr>
      <w:tblGrid>
        <w:gridCol w:w="2232"/>
        <w:gridCol w:w="3744"/>
        <w:gridCol w:w="3384"/>
      </w:tblGrid>
      <w:tr>
        <w:trPr>
          <w:tblHeade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Task or criterion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Observed evidence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Limitation or next check</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Normal submission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Units and a saved identifier are visible; record status is normal.</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Participant interpretation remains unmeasured.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Hot alert interpretation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Explicit 90 ≥ 82 breach and forest disagreement are shown.</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Internal feature names need clearer language.</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Alert acknowledgement</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Table changes to acknowledged; SQL audit persists.</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Acknowledgement does not mean repaired.</w:t>
            </w:r>
          </w:p>
        </w:tc>
      </w:tr>
      <w:tr>
        <w:trPr>
          <w:cantSplit/>
        </w:trPr>
        <w:tc>
          <w:tcPr>
            <w:tcW w:type="dxa" w:w="2232"/>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History and navigation</w:t>
            </w:r>
          </w:p>
        </w:tc>
        <w:tc>
          <w:tcPr>
            <w:tcW w:type="dxa" w:w="374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Latest 50 records are available.</w:t>
            </w:r>
          </w:p>
        </w:tc>
        <w:tc>
          <w:tcPr>
            <w:tcW w:type="dxa" w:w="33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Add filters, pagination, equipment context, and trends.</w:t>
            </w:r>
          </w:p>
        </w:tc>
      </w:tr>
    </w:tbl>
    <w:p/>
    <w:p>
      <w:pPr>
        <w:pStyle w:val="Heading1"/>
      </w:pPr>
      <w:r>
        <w:t>Part C: Deployment &amp; Configuration Planning Overview</w:t>
      </w:r>
    </w:p>
    <w:p>
      <w:pPr>
        <w:pStyle w:val="Heading3"/>
      </w:pPr>
      <w:r>
        <w:t>Selected Deployment and Alternatives</w:t>
      </w:r>
    </w:p>
    <w:p>
      <w:pPr>
        <w:ind w:firstLine="720"/>
      </w:pPr>
      <w:r>
        <w:t>Docker on a controlled Linux staging host is selected for repeatable packaging and isolation. A local virtual environment suits demonstrations; a managed cloud host offers convenience but introduces costs and organizational data controls. An on-premises server provides locality but requires patching and backup ownership. The prepared Dockerfile uses a non-root account, one Gunicorn worker, and a health check. A persistent volume preserves SQLite records (Docker, n.d.). Docker execution and staging promotion have not been performed; the measured environment is local Gunicorn. Deployment includes packaging and configuration, rather than simply copying source files (Sumo Logic, n.d.). Staging must also confirm that the service account can write to its mounted volume.</w:t>
      </w:r>
    </w:p>
    <w:p>
      <w:pPr>
        <w:pStyle w:val="Heading3"/>
      </w:pPr>
      <w:r>
        <w:t>Prerequisites Environment and Commands</w:t>
      </w:r>
    </w:p>
    <w:p>
      <w:pPr>
        <w:ind w:firstLine="720"/>
      </w:pPr>
      <w:r>
        <w:t>Table C1 and Figure 10 document setup. Validated prerequisites are Linux x86_64, Python 3.12.14, scikit-learn 1.8.0, Flask 3.1.2, Gunicorn 23.0.0, pytest 9.1.1, pytest-cov 7.1.0, and SQLite 3.53.1. An IDE opens the repository root and selects its virtual-environment interpreter. Required settings are APP_SECRET_KEY and DEMO_PASSWORD_HASH; DEMO_USER defaults to technician, DATABASE_PATH identifies writable storage, and COOKIE_SECURE becomes one behind staging HTTPS. Secrets remain outside Git. Commands create the environment, install dependencies, generate data, run evaluation and tests, compile Python, and start the server. Docker build/run commands are proposed. Flask documentation specifies Gunicorn’s application-factory syntax (Pallets Projects, n.d.).</w:t>
      </w:r>
    </w:p>
    <w:p>
      <w:pPr>
        <w:pStyle w:val="Heading3"/>
      </w:pPr>
      <w:r>
        <w:t>Configuration and Acceptance Criteria</w:t>
      </w:r>
    </w:p>
    <w:p>
      <w:pPr>
        <w:ind w:firstLine="720"/>
      </w:pPr>
      <w:r>
        <w:t>Configuration management versions source, thresholds, dependencies, and evidence together (Bennett, 2024). The feature/unit6-integration-recovery branch preserves the integration work separately from main. Verified earlier tags v0.1.0 and v0.2.0 retain prototype and tested-core milestones; a future v0.3.0 prerelease should identify reviewed integration. Merge criteria require all tests passing, separate statement and branch coverage at least 90%, successful compilation, unchanged seeded baseline confusion counts, and review of configuration and security changes. Staging additionally requires a built image, restart/persistence checks, HTTPS, secret injection, backup restoration, dependency review, and p95 below 100 milliseconds under the documented serial protocol. Passing software gates does not promote the forest to operational use. Documentation must remain synchronized with implementation (Brown, 2026).</w:t>
      </w:r>
    </w:p>
    <w:p>
      <w:pPr>
        <w:pStyle w:val="Heading3"/>
      </w:pPr>
      <w:r>
        <w:t>Reproduction and Configuration Evidence</w:t>
      </w:r>
    </w:p>
    <w:p>
      <w:pPr>
        <w:ind w:firstLine="720"/>
      </w:pPr>
      <w:r>
        <w:t>Setup depends on the order of initialization. Generate the dataset and evaluation files before server startup because the detection service reads both during construction. Supply the session secret and password hash before creating the application; missing secrets deliberately stop startup. The database parent directory must be writable. Restart after changing thresholds because the service loads its configuration and fits the detector once. The recorded database contains 312 observations: two demonstrations, ten warmups, and 300 benchmark requests. Its single acknowledgement belongs to the hot demonstration. Reopening SQLite confirms the saved review status. These records establish persistence without representing participant activity or operational incidents. Reproduction should compare classification counts rather than require identical timings, since scheduling and storage conditions vary. Configuration listings provide the ordered commands, including secret preparation before Gunicorn startup. The staging plan adds restart and backup restoration checks before wider access.</w:t>
      </w:r>
    </w:p>
    <w:p>
      <w:pPr>
        <w:keepNext/>
      </w:pPr>
      <w:r>
        <w:rPr>
          <w:b/>
        </w:rPr>
        <w:t>Table C1</w:t>
      </w:r>
    </w:p>
    <w:p>
      <w:pPr>
        <w:keepNext/>
      </w:pPr>
      <w:r>
        <w:rPr>
          <w:i/>
        </w:rPr>
        <w:t>Prerequisites and configuration settings</w:t>
      </w:r>
    </w:p>
    <w:tbl>
      <w:tblPr>
        <w:tblW w:type="auto" w:w="0"/>
        <w:tblLayout w:type="fixed"/>
        <w:tblLook w:firstColumn="1" w:firstRow="1" w:lastColumn="0" w:lastRow="0" w:noHBand="0" w:noVBand="1" w:val="04A0"/>
      </w:tblPr>
      <w:tblGrid>
        <w:gridCol w:w="2376"/>
        <w:gridCol w:w="6984"/>
      </w:tblGrid>
      <w:tr>
        <w:trPr>
          <w:tblHeade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Item</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shd w:fill="E8EDF0"/>
          </w:tcPr>
          <w:p>
            <w:pPr>
              <w:spacing w:line="264" w:lineRule="auto" w:after="40"/>
            </w:pPr>
            <w:r>
              <w:rPr>
                <w:b/>
                <w:sz w:val="20"/>
              </w:rPr>
              <w:t>Requirement or setting</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Runtime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Linux x86_64; Python 3.12.14; scikit-learn 1.8.0; Flask 3.1.2; Gunicorn 23.0.0</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Tests and storage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pytest 9.1.1; pytest-cov 7.1.0; SQLite 3.53.1; writable database parent directory</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APP_SECRET_KEY</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Required random session-signing secret; injected externally; never committed</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DEMO_PASSWORD_HASH</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Required Werkzeug password hash; never store the password in source</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DEMO_USER</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Default technician; one prototype account</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DATABASE_PATH</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Default data/monitor.db; staging /app/state/monitor.db on a persistent volume</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COOKIE_SECURE</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0 only for loopback HTTP; 1 behind staging HTTPS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Threshold configuration</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config/thresholds.json; SHA-256 prefix b1244d7709bf; restart after changes</w:t>
            </w:r>
          </w:p>
        </w:tc>
      </w:tr>
      <w:tr>
        <w:trPr>
          <w:cantSplit/>
        </w:trPr>
        <w:tc>
          <w:tcPr>
            <w:tcW w:type="dxa" w:w="2376"/>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Model configuration</w:t>
            </w:r>
          </w:p>
        </w:tc>
        <w:tc>
          <w:tcPr>
            <w:tcW w:type="dxa" w:w="6984"/>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line="264" w:lineRule="auto" w:after="40"/>
            </w:pPr>
            <w:r>
              <w:rPr>
                <w:b w:val="0"/>
                <w:sz w:val="20"/>
              </w:rPr>
              <w:t>200 trees; contamination 0.08; seed 5910; fit at startup on development partition</w:t>
            </w:r>
          </w:p>
        </w:tc>
      </w:tr>
    </w:tbl>
    <w:p/>
    <w:p>
      <w:pPr>
        <w:keepNext/>
      </w:pPr>
      <w:r>
        <w:rPr>
          <w:b/>
        </w:rPr>
        <w:t>Figure 10</w:t>
      </w:r>
    </w:p>
    <w:p>
      <w:pPr>
        <w:keepNext/>
      </w:pPr>
      <w:r>
        <w:rPr>
          <w:i/>
        </w:rPr>
        <w:t>Environment setup and database verification</w:t>
      </w:r>
    </w:p>
    <w:p>
      <w:pPr>
        <w:keepNext/>
        <w:spacing w:line="240" w:lineRule="auto"/>
      </w:pPr>
      <w:r>
        <w:drawing>
          <wp:inline xmlns:a="http://schemas.openxmlformats.org/drawingml/2006/main" xmlns:pic="http://schemas.openxmlformats.org/drawingml/2006/picture">
            <wp:extent cx="5943600" cy="5226653"/>
            <wp:docPr id="12" name="Picture 12"/>
            <wp:cNvGraphicFramePr>
              <a:graphicFrameLocks noChangeAspect="1"/>
            </wp:cNvGraphicFramePr>
            <a:graphic>
              <a:graphicData uri="http://schemas.openxmlformats.org/drawingml/2006/picture">
                <pic:pic>
                  <pic:nvPicPr>
                    <pic:cNvPr id="0" name="environment.png"/>
                    <pic:cNvPicPr/>
                  </pic:nvPicPr>
                  <pic:blipFill>
                    <a:blip r:embed="rId21"/>
                    <a:stretch>
                      <a:fillRect/>
                    </a:stretch>
                  </pic:blipFill>
                  <pic:spPr>
                    <a:xfrm>
                      <a:off x="0" y="0"/>
                      <a:ext cx="5943600" cy="5226653"/>
                    </a:xfrm>
                    <a:prstGeom prst="rect"/>
                  </pic:spPr>
                </pic:pic>
              </a:graphicData>
            </a:graphic>
          </wp:inline>
        </w:drawing>
      </w:r>
    </w:p>
    <w:p>
      <w:pPr>
        <w:pStyle w:val="Caption"/>
      </w:pPr>
      <w:r>
        <w:t>Note. Captured environment and server logs support the local setup. Secret values are omitted. The database contains two examples, ten warmups, and 300 benchmark observations.</w:t>
      </w:r>
    </w:p>
    <w:p>
      <w:pPr>
        <w:pStyle w:val="Heading3"/>
      </w:pPr>
      <w:r>
        <w:t>Local setup and verification</w:t>
      </w:r>
    </w:p>
    <w:p>
      <w:pPr>
        <w:spacing w:line="240" w:lineRule="auto" w:after="0"/>
      </w:pPr>
      <w:r>
        <w:rPr>
          <w:rFonts w:ascii="Courier New" w:hAnsi="Courier New"/>
          <w:sz w:val="18"/>
        </w:rPr>
        <w:t>python -m venv .venv</w:t>
      </w:r>
    </w:p>
    <w:p>
      <w:pPr>
        <w:spacing w:line="240" w:lineRule="auto" w:after="0"/>
      </w:pPr>
      <w:r>
        <w:rPr>
          <w:rFonts w:ascii="Courier New" w:hAnsi="Courier New"/>
          <w:sz w:val="18"/>
        </w:rPr>
        <w:t>. .venv/bin/activate</w:t>
      </w:r>
    </w:p>
    <w:p>
      <w:pPr>
        <w:spacing w:line="240" w:lineRule="auto" w:after="0"/>
      </w:pPr>
      <w:r>
        <w:rPr>
          <w:rFonts w:ascii="Courier New" w:hAnsi="Courier New"/>
          <w:sz w:val="18"/>
        </w:rPr>
        <w:t>python -m pip install -r requirements.txt</w:t>
      </w:r>
    </w:p>
    <w:p>
      <w:pPr>
        <w:spacing w:line="240" w:lineRule="auto" w:after="0"/>
      </w:pPr>
      <w:r>
        <w:rPr>
          <w:rFonts w:ascii="Courier New" w:hAnsi="Courier New"/>
          <w:sz w:val="18"/>
        </w:rPr>
        <w:t>python src/generate_data.py</w:t>
      </w:r>
    </w:p>
    <w:p>
      <w:pPr>
        <w:spacing w:line="240" w:lineRule="auto" w:after="0"/>
      </w:pPr>
      <w:r>
        <w:rPr>
          <w:rFonts w:ascii="Courier New" w:hAnsi="Courier New"/>
          <w:sz w:val="18"/>
        </w:rPr>
        <w:t>python src/evaluate.py</w:t>
      </w:r>
    </w:p>
    <w:p>
      <w:pPr>
        <w:spacing w:line="240" w:lineRule="auto" w:after="0"/>
      </w:pPr>
      <w:r>
        <w:rPr>
          <w:rFonts w:ascii="Courier New" w:hAnsi="Courier New"/>
          <w:sz w:val="18"/>
        </w:rPr>
        <w:t>python -m pytest -q --cov=src --cov-branch \</w:t>
      </w:r>
    </w:p>
    <w:p>
      <w:pPr>
        <w:spacing w:line="240" w:lineRule="auto" w:after="0"/>
      </w:pPr>
      <w:r>
        <w:rPr>
          <w:rFonts w:ascii="Courier New" w:hAnsi="Courier New"/>
          <w:sz w:val="18"/>
        </w:rPr>
        <w:t xml:space="preserve">  --cov-report=term-missing \</w:t>
      </w:r>
    </w:p>
    <w:p>
      <w:pPr>
        <w:spacing w:line="240" w:lineRule="auto" w:after="0"/>
      </w:pPr>
      <w:r>
        <w:rPr>
          <w:rFonts w:ascii="Courier New" w:hAnsi="Courier New"/>
          <w:sz w:val="18"/>
        </w:rPr>
        <w:t xml:space="preserve">  --cov-report=json:results/unit6/coverage.json</w:t>
      </w:r>
    </w:p>
    <w:p>
      <w:pPr>
        <w:spacing w:line="240" w:lineRule="auto" w:after="0"/>
      </w:pPr>
      <w:r>
        <w:rPr>
          <w:rFonts w:ascii="Courier New" w:hAnsi="Courier New"/>
          <w:sz w:val="18"/>
        </w:rPr>
        <w:t>python results/unit6/acceptance.py</w:t>
      </w:r>
    </w:p>
    <w:p>
      <w:pPr>
        <w:spacing w:line="240" w:lineRule="auto" w:after="0"/>
      </w:pPr>
      <w:r>
        <w:rPr>
          <w:rFonts w:ascii="Courier New" w:hAnsi="Courier New"/>
          <w:sz w:val="18"/>
        </w:rPr>
        <w:t>python -m compileall -q src</w:t>
      </w:r>
    </w:p>
    <w:p/>
    <w:p>
      <w:pPr>
        <w:pStyle w:val="Heading3"/>
      </w:pPr>
      <w:r>
        <w:t>Secret configuration before startup</w:t>
      </w:r>
    </w:p>
    <w:p>
      <w:pPr>
        <w:spacing w:line="240" w:lineRule="auto" w:after="0"/>
      </w:pPr>
      <w:r>
        <w:rPr>
          <w:rFonts w:ascii="Courier New" w:hAnsi="Courier New"/>
          <w:sz w:val="18"/>
        </w:rPr>
        <w:t>export APP_SECRET_KEY="$(python -c \</w:t>
      </w:r>
    </w:p>
    <w:p>
      <w:pPr>
        <w:spacing w:line="240" w:lineRule="auto" w:after="0"/>
      </w:pPr>
      <w:r>
        <w:rPr>
          <w:rFonts w:ascii="Courier New" w:hAnsi="Courier New"/>
          <w:sz w:val="18"/>
        </w:rPr>
        <w:t xml:space="preserve">  'import secrets; print(secrets.token_hex(32))')"</w:t>
      </w:r>
    </w:p>
    <w:p>
      <w:pPr>
        <w:spacing w:line="240" w:lineRule="auto" w:after="0"/>
      </w:pPr>
      <w:r>
        <w:rPr>
          <w:rFonts w:ascii="Courier New" w:hAnsi="Courier New"/>
          <w:sz w:val="18"/>
        </w:rPr>
        <w:t>export DEMO_PASSWORD_HASH="$(python -c \</w:t>
      </w:r>
    </w:p>
    <w:p>
      <w:pPr>
        <w:spacing w:line="240" w:lineRule="auto" w:after="0"/>
      </w:pPr>
      <w:r>
        <w:rPr>
          <w:rFonts w:ascii="Courier New" w:hAnsi="Courier New"/>
          <w:sz w:val="18"/>
        </w:rPr>
        <w:t xml:space="preserve">  'from getpass import getpass;</w:t>
      </w:r>
    </w:p>
    <w:p>
      <w:pPr>
        <w:spacing w:line="240" w:lineRule="auto" w:after="0"/>
      </w:pPr>
      <w:r>
        <w:rPr>
          <w:rFonts w:ascii="Courier New" w:hAnsi="Courier New"/>
          <w:sz w:val="18"/>
        </w:rPr>
        <w:t>from werkzeug.security import generate_password_hash;</w:t>
      </w:r>
    </w:p>
    <w:p>
      <w:pPr>
        <w:spacing w:line="240" w:lineRule="auto" w:after="0"/>
      </w:pPr>
      <w:r>
        <w:rPr>
          <w:rFonts w:ascii="Courier New" w:hAnsi="Courier New"/>
          <w:sz w:val="18"/>
        </w:rPr>
        <w:t>print(generate_password_hash(getpass("Demo password: ")))')"</w:t>
      </w:r>
    </w:p>
    <w:p>
      <w:pPr>
        <w:spacing w:line="240" w:lineRule="auto" w:after="0"/>
      </w:pPr>
      <w:r>
        <w:rPr>
          <w:rFonts w:ascii="Courier New" w:hAnsi="Courier New"/>
          <w:sz w:val="18"/>
        </w:rPr>
        <w:t>export DATABASE_PATH=data/monitor.db</w:t>
      </w:r>
    </w:p>
    <w:p>
      <w:pPr>
        <w:spacing w:line="240" w:lineRule="auto" w:after="0"/>
      </w:pPr>
      <w:r>
        <w:rPr>
          <w:rFonts w:ascii="Courier New" w:hAnsi="Courier New"/>
          <w:sz w:val="18"/>
        </w:rPr>
        <w:t>export COOKIE_SECURE=0</w:t>
      </w:r>
    </w:p>
    <w:p>
      <w:pPr>
        <w:spacing w:line="240" w:lineRule="auto" w:after="0"/>
      </w:pPr>
      <w:r>
        <w:rPr>
          <w:rFonts w:ascii="Courier New" w:hAnsi="Courier New"/>
          <w:sz w:val="18"/>
        </w:rPr>
        <w:t>python -m gunicorn --chdir src --bind 127.0.0.1:8000 \</w:t>
      </w:r>
    </w:p>
    <w:p>
      <w:pPr>
        <w:spacing w:line="240" w:lineRule="auto" w:after="0"/>
      </w:pPr>
      <w:r>
        <w:rPr>
          <w:rFonts w:ascii="Courier New" w:hAnsi="Courier New"/>
          <w:sz w:val="18"/>
        </w:rPr>
        <w:t xml:space="preserve">  --workers 1 'app:create_app()'</w:t>
      </w:r>
    </w:p>
    <w:p/>
    <w:p>
      <w:pPr>
        <w:pStyle w:val="Heading3"/>
      </w:pPr>
      <w:r>
        <w:t>Proposed Docker build and staging commands</w:t>
      </w:r>
    </w:p>
    <w:p>
      <w:pPr>
        <w:spacing w:line="240" w:lineRule="auto" w:after="0"/>
      </w:pPr>
      <w:r>
        <w:rPr>
          <w:rFonts w:ascii="Courier New" w:hAnsi="Courier New"/>
          <w:sz w:val="18"/>
        </w:rPr>
        <w:t>docker build -t msit5910:unit6 .</w:t>
      </w:r>
    </w:p>
    <w:p>
      <w:pPr>
        <w:spacing w:line="240" w:lineRule="auto" w:after="0"/>
      </w:pPr>
      <w:r>
        <w:rPr>
          <w:rFonts w:ascii="Courier New" w:hAnsi="Courier New"/>
          <w:sz w:val="18"/>
        </w:rPr>
        <w:t>docker volume create msit5910-data</w:t>
      </w:r>
    </w:p>
    <w:p>
      <w:pPr>
        <w:spacing w:line="240" w:lineRule="auto" w:after="0"/>
      </w:pPr>
      <w:r>
        <w:rPr>
          <w:rFonts w:ascii="Courier New" w:hAnsi="Courier New"/>
          <w:sz w:val="18"/>
        </w:rPr>
        <w:t>docker run --rm --env-file .env -p 127.0.0.1:8000:8000 \</w:t>
      </w:r>
    </w:p>
    <w:p>
      <w:pPr>
        <w:spacing w:line="240" w:lineRule="auto" w:after="0"/>
      </w:pPr>
      <w:r>
        <w:rPr>
          <w:rFonts w:ascii="Courier New" w:hAnsi="Courier New"/>
          <w:sz w:val="18"/>
        </w:rPr>
        <w:t xml:space="preserve">  --mount type=volume,src=msit5910-data,dst=/app/state \</w:t>
      </w:r>
    </w:p>
    <w:p>
      <w:pPr>
        <w:spacing w:line="240" w:lineRule="auto" w:after="0"/>
      </w:pPr>
      <w:r>
        <w:rPr>
          <w:rFonts w:ascii="Courier New" w:hAnsi="Courier New"/>
          <w:sz w:val="18"/>
        </w:rPr>
        <w:t xml:space="preserve">  msit5910:unit6</w:t>
      </w:r>
    </w:p>
    <w:p/>
    <w:p>
      <w:pPr>
        <w:pStyle w:val="Caption"/>
      </w:pPr>
      <w:r>
        <w:t>The protected staging environment file supplies APP_SECRET_KEY, DEMO_PASSWORD_HASH, DEMO_USER=technician, DATABASE_PATH=/app/state/monitor.db, and COOKIE_SECURE=1 behind HTTPS. Docker build and staging execution remain unperformed. Bind loopback HTTP only behind a controlled HTTPS proxy.</w:t>
      </w:r>
    </w:p>
    <w:p>
      <w:pPr>
        <w:pStyle w:val="Heading2"/>
      </w:pPr>
      <w:r>
        <w:t>Conclusion</w:t>
      </w:r>
    </w:p>
    <w:p>
      <w:pPr>
        <w:pStyle w:val="Heading3"/>
      </w:pPr>
      <w:r>
        <w:t>Findings and Next Steps</w:t>
      </w:r>
    </w:p>
    <w:p>
      <w:pPr>
        <w:ind w:firstLine="720"/>
      </w:pPr>
      <w:r>
        <w:t>The project demonstrates connected decision support with reproducible evidence. Detection results favor the baseline under biased synthetic conditions, while latency and integration tests establish local functionality. The next priorities are independent telemetry, representative usability testing, stronger access controls, and verified container deployment with documented acceptance criteria.</w:t>
      </w:r>
    </w:p>
    <w:p>
      <w:pPr>
        <w:pStyle w:val="Heading1"/>
        <w:pageBreakBefore/>
      </w:pPr>
      <w:r>
        <w:t>References</w:t>
      </w:r>
    </w:p>
    <w:p>
      <w:pPr>
        <w:ind w:left="720" w:hanging="720"/>
      </w:pPr>
      <w:r>
        <w:t xml:space="preserve">Bennett, L. (2024, August 13). </w:t>
      </w:r>
      <w:r>
        <w:rPr>
          <w:i/>
        </w:rPr>
        <w:t>Software configuration management in software engineering</w:t>
      </w:r>
      <w:r>
        <w:t xml:space="preserve">. </w:t>
      </w:r>
      <w:r>
        <w:t>Guru99. https://www.guru99.com/software-configuration-management-tutorial.html</w:t>
      </w:r>
    </w:p>
    <w:p>
      <w:pPr>
        <w:ind w:left="720" w:hanging="720"/>
      </w:pPr>
      <w:r>
        <w:t xml:space="preserve">Brereton, J. (2023, November 27). </w:t>
      </w:r>
      <w:r>
        <w:rPr>
          <w:i/>
        </w:rPr>
        <w:t>Qualitative vs quantitative metrics: A comprehensive comparison</w:t>
      </w:r>
      <w:r>
        <w:t xml:space="preserve">. </w:t>
      </w:r>
      <w:r>
        <w:t>LaunchNotes. https://www.launchnotes.com/blog/qualitative-vs-quantitative-metrics-a-comprehensive-comparison</w:t>
      </w:r>
    </w:p>
    <w:p>
      <w:pPr>
        <w:ind w:left="720" w:hanging="720"/>
      </w:pPr>
      <w:r>
        <w:t xml:space="preserve">Brown, J. (2026, September 13). </w:t>
      </w:r>
      <w:r>
        <w:rPr>
          <w:i/>
        </w:rPr>
        <w:t>Software documentation guide: Definition, examples, downloadable templates + how to write</w:t>
      </w:r>
      <w:r>
        <w:t xml:space="preserve">. </w:t>
      </w:r>
      <w:r>
        <w:t>Helpjuice. https://helpjuice.com/blog/software-documentation</w:t>
      </w:r>
    </w:p>
    <w:p>
      <w:pPr>
        <w:ind w:left="720" w:hanging="720"/>
      </w:pPr>
      <w:r>
        <w:t xml:space="preserve">Docker. (n.d.). </w:t>
      </w:r>
      <w:r>
        <w:rPr>
          <w:i/>
        </w:rPr>
        <w:t>Volumes</w:t>
      </w:r>
      <w:r>
        <w:t xml:space="preserve">. </w:t>
      </w:r>
      <w:r>
        <w:t>https://docs.docker.com/engine/storage/volumes/</w:t>
      </w:r>
    </w:p>
    <w:p>
      <w:pPr>
        <w:ind w:left="720" w:hanging="720"/>
      </w:pPr>
      <w:r>
        <w:t xml:space="preserve">GeeksforGeeks. (2025, July 15). </w:t>
      </w:r>
      <w:r>
        <w:rPr>
          <w:i/>
        </w:rPr>
        <w:t>Measuring software quality using quality metrics</w:t>
      </w:r>
      <w:r>
        <w:t xml:space="preserve">. </w:t>
      </w:r>
      <w:r>
        <w:t>https://www.geeksforgeeks.org/software-engineering/measuring-software-quality-using-quality-metrics/</w:t>
      </w:r>
    </w:p>
    <w:p>
      <w:pPr>
        <w:ind w:left="720" w:hanging="720"/>
      </w:pPr>
      <w:r>
        <w:t xml:space="preserve">Han, S., Hu, X., Huang, H., Jiang, M., &amp; Zhao, Y. (2022). </w:t>
      </w:r>
      <w:r>
        <w:rPr>
          <w:i w:val="0"/>
        </w:rPr>
        <w:t>ADBench: Anomaly detection benchmark</w:t>
      </w:r>
      <w:r>
        <w:t xml:space="preserve">. </w:t>
      </w:r>
      <w:r>
        <w:rPr>
          <w:i/>
        </w:rPr>
        <w:t>Advances in Neural Information Processing Systems, 35</w:t>
      </w:r>
      <w:r>
        <w:t>, 32142–32159. https://proceedings.neurips.cc/paper_files/paper/2022/hash/cf93972b116ca5268827d575f2cc226b-Abstract-Datasets_and_Benchmarks.html</w:t>
      </w:r>
    </w:p>
    <w:p>
      <w:pPr>
        <w:ind w:left="720" w:hanging="720"/>
      </w:pPr>
      <w:r>
        <w:t xml:space="preserve">Pallets Projects. (n.d.). </w:t>
      </w:r>
      <w:r>
        <w:rPr>
          <w:i/>
        </w:rPr>
        <w:t>Gunicorn</w:t>
      </w:r>
      <w:r>
        <w:t xml:space="preserve">. </w:t>
      </w:r>
      <w:r>
        <w:t>Flask documentation. https://flask.palletsprojects.com/en/stable/deploying/gunicorn/</w:t>
      </w:r>
    </w:p>
    <w:p>
      <w:pPr>
        <w:ind w:left="720" w:hanging="720"/>
      </w:pPr>
      <w:r>
        <w:t xml:space="preserve">Ruff, L., Kauffmann, J. R., Vandermeulen, R. A., Montavon, G., Samek, W., Kloft, M., Dietterich, T. G., &amp; Müller, K.-R. (2021). </w:t>
      </w:r>
      <w:r>
        <w:rPr>
          <w:i w:val="0"/>
        </w:rPr>
        <w:t>A unifying review of deep and shallow anomaly detection</w:t>
      </w:r>
      <w:r>
        <w:t xml:space="preserve">. </w:t>
      </w:r>
      <w:r>
        <w:rPr>
          <w:i/>
        </w:rPr>
        <w:t>Proceedings of the IEEE, 109</w:t>
      </w:r>
      <w:r>
        <w:t>(5), 756–795. https://doi.org/10.1109/JPROC.2021.3052449</w:t>
      </w:r>
    </w:p>
    <w:p>
      <w:pPr>
        <w:ind w:left="720" w:hanging="720"/>
      </w:pPr>
      <w:r>
        <w:t xml:space="preserve">Sumo Logic. (n.d.). </w:t>
      </w:r>
      <w:r>
        <w:rPr>
          <w:i/>
        </w:rPr>
        <w:t>What is software deployment?</w:t>
      </w:r>
      <w:r>
        <w:t xml:space="preserve"> https://www.sumologic.com/glossary/software-development/</w:t>
      </w:r>
    </w:p>
    <w:p>
      <w:pPr>
        <w:ind w:left="720" w:hanging="720"/>
      </w:pPr>
      <w:r>
        <w:t xml:space="preserve">Summers, B. L. (2020). </w:t>
      </w:r>
      <w:r>
        <w:rPr>
          <w:i/>
        </w:rPr>
        <w:t>Effective methods for software engineering</w:t>
      </w:r>
      <w:r>
        <w:t xml:space="preserve">. </w:t>
      </w:r>
      <w:r>
        <w:t>Auerbach Publications. https://doi.org/10.1201/9781003025665</w:t>
      </w:r>
    </w:p>
    <w:p>
      <w:pPr>
        <w:ind w:left="720" w:hanging="720"/>
      </w:pPr>
      <w:r>
        <w:t xml:space="preserve">Wells, J. (2025, April 16). </w:t>
      </w:r>
      <w:r>
        <w:rPr>
          <w:i/>
        </w:rPr>
        <w:t>Top 12 software quality metrics to measure and why</w:t>
      </w:r>
      <w:r>
        <w:t xml:space="preserve">. </w:t>
      </w:r>
      <w:r>
        <w:t>LinearB. https://linearb.io/blog/software-quality-metrics</w:t>
      </w:r>
    </w:p>
    <w:p>
      <w:pPr>
        <w:ind w:left="720" w:hanging="720"/>
      </w:pPr>
      <w:r>
        <w:t xml:space="preserve">Zhao, Y., Nasrullah, Z., &amp; Li, Z. (2019). </w:t>
      </w:r>
      <w:r>
        <w:rPr>
          <w:i w:val="0"/>
        </w:rPr>
        <w:t>PyOD: A Python toolbox for scalable outlier detection</w:t>
      </w:r>
      <w:r>
        <w:t xml:space="preserve">. </w:t>
      </w:r>
      <w:r>
        <w:rPr>
          <w:i/>
        </w:rPr>
        <w:t>Journal of Machine Learning Research, 20</w:t>
      </w:r>
      <w:r>
        <w:t>(96), 1–7. https://www.jmlr.org/papers/v20/19-011.html</w:t>
      </w:r>
    </w:p>
    <w:sectPr w:rsidR="00FC693F" w:rsidRPr="0006063C" w:rsidSect="00034616">
      <w:foot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360" w:lineRule="auto"/>
      <w:outlineLvl w:val="0"/>
    </w:pPr>
    <w:rPr>
      <w:rFonts w:ascii="Times New Roman" w:hAnsi="Times New Roman" w:eastAsia="Times New Roman" w:cs="Times New Roman"/>
      <w:b/>
      <w:bCs/>
      <w:color w:val="000000"/>
      <w:sz w:val="48"/>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outlineLvl w:val="2"/>
    </w:pPr>
    <w:rPr>
      <w:rFonts w:ascii="Times New Roman" w:hAnsi="Times New Roman" w:eastAsia="Times New Roman" w:cs="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360" w:lineRule="auto"/>
      <w:contextualSpacing/>
    </w:pPr>
    <w:rPr>
      <w:rFonts w:ascii="Times New Roman" w:hAnsi="Times New Roman" w:eastAsia="Times New Roman" w:cs="Times New Roman"/>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4" w:lineRule="auto" w:after="120"/>
    </w:pPr>
    <w:rPr>
      <w:rFonts w:ascii="Times New Roman" w:hAnsi="Times New Roman" w:eastAsia="Times New Roman" w:cs="Times New Roman"/>
      <w:b w:val="0"/>
      <w:bCs/>
      <w:i w:val="0"/>
      <w:color w:val="000000"/>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Integration and Evaluation</dc:title>
  <dc:subject/>
  <dc:creator>Zakir H.</dc:creator>
  <cp:keywords/>
  <dc:description/>
  <cp:lastModifiedBy/>
  <cp:revision>1</cp:revision>
  <dcterms:created xsi:type="dcterms:W3CDTF">2013-12-23T23:15:00Z</dcterms:created>
  <dcterms:modified xsi:type="dcterms:W3CDTF">2013-12-23T23:15:00Z</dcterms:modified>
  <cp:category/>
</cp:coreProperties>
</file>