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media/image3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1400"/>
        <w:jc w:val="center"/>
      </w:pPr>
      <w:r>
        <w:t>Desarrollo e integración de ClanRest Gestión</w:t>
      </w:r>
    </w:p>
    <w:p>
      <w:pPr>
        <w:jc w:val="center"/>
      </w:pPr>
      <w:r>
        <w:rPr>
          <w:b/>
          <w:sz w:val="34"/>
        </w:rPr>
        <w:t>Avance de Proyecto Final 3</w:t>
      </w:r>
    </w:p>
    <w:p>
      <w:pPr>
        <w:jc w:val="center"/>
      </w:pPr>
      <w:r>
        <w:rPr>
          <w:sz w:val="24"/>
        </w:rPr>
        <w:t>Arquitectura MVC  TDD  DAO  SOLID  Java y GitHub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4"/>
        <w:gridCol w:w="6236"/>
      </w:tblGrid>
      <w:tr>
        <w:trPr>
          <w:tblHeader w:val="true"/>
        </w:trPr>
        <w:tc>
          <w:tcPr>
            <w:tcW w:type="dxa" w:w="1984"/>
            <w:shd w:fill="163A4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Dato</w:t>
            </w:r>
          </w:p>
        </w:tc>
        <w:tc>
          <w:tcPr>
            <w:tcW w:type="dxa" w:w="6236"/>
            <w:shd w:fill="163A4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Información</w:t>
            </w:r>
          </w:p>
        </w:tc>
      </w:tr>
      <w:tr>
        <w:trPr>
          <w:cantSplit/>
        </w:trPr>
        <w:tc>
          <w:tcPr>
            <w:tcW w:type="dxa" w:w="19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Curso</w:t>
            </w:r>
          </w:p>
        </w:tc>
        <w:tc>
          <w:tcPr>
            <w:tcW w:type="dxa" w:w="62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Curso Integrador I Sistemas Software</w:t>
            </w:r>
          </w:p>
        </w:tc>
      </w:tr>
      <w:tr>
        <w:trPr>
          <w:cantSplit/>
        </w:trPr>
        <w:tc>
          <w:tcPr>
            <w:tcW w:type="dxa" w:w="1984"/>
            <w:shd w:fill="F3F5F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Proyecto</w:t>
            </w:r>
          </w:p>
        </w:tc>
        <w:tc>
          <w:tcPr>
            <w:tcW w:type="dxa" w:w="6236"/>
            <w:shd w:fill="F3F5F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ClanRest Gestión</w:t>
            </w:r>
          </w:p>
        </w:tc>
      </w:tr>
      <w:tr>
        <w:trPr>
          <w:cantSplit/>
        </w:trPr>
        <w:tc>
          <w:tcPr>
            <w:tcW w:type="dxa" w:w="19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Integrantes</w:t>
            </w:r>
          </w:p>
        </w:tc>
        <w:tc>
          <w:tcPr>
            <w:tcW w:type="dxa" w:w="62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Juan Abel Coveñas Fernandez</w:t>
              <w:br/>
              <w:t>Hector Zenon Huamani Paxi</w:t>
              <w:br/>
              <w:t>Carlos Daniel Requejo Tello</w:t>
            </w:r>
          </w:p>
        </w:tc>
      </w:tr>
      <w:tr>
        <w:trPr>
          <w:cantSplit/>
        </w:trPr>
        <w:tc>
          <w:tcPr>
            <w:tcW w:type="dxa" w:w="1984"/>
            <w:shd w:fill="F3F5F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Docente</w:t>
            </w:r>
          </w:p>
        </w:tc>
        <w:tc>
          <w:tcPr>
            <w:tcW w:type="dxa" w:w="6236"/>
            <w:shd w:fill="F3F5F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Bernardo Rivera Abad</w:t>
            </w:r>
          </w:p>
        </w:tc>
      </w:tr>
      <w:tr>
        <w:trPr>
          <w:cantSplit/>
        </w:trPr>
        <w:tc>
          <w:tcPr>
            <w:tcW w:type="dxa" w:w="19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Fecha</w:t>
            </w:r>
          </w:p>
        </w:tc>
        <w:tc>
          <w:tcPr>
            <w:tcW w:type="dxa" w:w="62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29 de octubre de 2026</w:t>
            </w:r>
          </w:p>
        </w:tc>
      </w:tr>
      <w:tr>
        <w:trPr>
          <w:cantSplit/>
        </w:trPr>
        <w:tc>
          <w:tcPr>
            <w:tcW w:type="dxa" w:w="1984"/>
            <w:shd w:fill="F3F5F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Repositorio</w:t>
            </w:r>
          </w:p>
        </w:tc>
        <w:tc>
          <w:tcPr>
            <w:tcW w:type="dxa" w:w="6236"/>
            <w:shd w:fill="F3F5F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github.com/Mehito-Pex/clanrest-gestion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Resumen del avance</w:t>
      </w:r>
    </w:p>
    <w:p>
      <w:r>
        <w:t>ClanRest Gestión implementa el alcance funcional comprometido para clientes, catálogo, cotizaciones, eventos, inventario, pagos, alertas, reportes, usuarios y auditoría. Este avance incorpora una exportación de eventos a Excel, integra las cuatro librerías Java solicitadas y documenta la arquitectura, la seguridad, las pruebas y el control de versiones.</w:t>
      </w:r>
    </w:p>
    <w:p>
      <w:r>
        <w:t>La verificación final ejecutó 20 pruebas sin fallos. JaCoCo registró 82.8 por ciento de cobertura de instrucciones y 50 por ciento de ramas. Maven generó el JAR, el Javadoc y los reportes de pruebas.</w:t>
      </w:r>
    </w:p>
    <w:p>
      <w:pPr>
        <w:pStyle w:val="Heading1"/>
      </w:pPr>
      <w:r>
        <w:t>Contenido del informe</w:t>
      </w:r>
    </w:p>
    <w:p>
      <w:pPr>
        <w:pStyle w:val="ListBullet"/>
      </w:pPr>
      <w:r>
        <w:t>Criterios de la rúbrica y evidencias</w:t>
      </w:r>
    </w:p>
    <w:p>
      <w:pPr>
        <w:pStyle w:val="ListBullet"/>
      </w:pPr>
      <w:r>
        <w:t>Alcance implementado e interfaces</w:t>
      </w:r>
    </w:p>
    <w:p>
      <w:pPr>
        <w:pStyle w:val="ListBullet"/>
      </w:pPr>
      <w:r>
        <w:t>Arquitectura MVC DAO y SOLID</w:t>
      </w:r>
    </w:p>
    <w:p>
      <w:pPr>
        <w:pStyle w:val="ListBullet"/>
      </w:pPr>
      <w:r>
        <w:t>Recursos Java y exportación Excel</w:t>
      </w:r>
    </w:p>
    <w:p>
      <w:pPr>
        <w:pStyle w:val="ListBullet"/>
      </w:pPr>
      <w:r>
        <w:t>TDD seguridad y calidad</w:t>
      </w:r>
    </w:p>
    <w:p>
      <w:pPr>
        <w:pStyle w:val="ListBullet"/>
      </w:pPr>
      <w:r>
        <w:t>Git GitHub documentación y sustentación</w:t>
      </w:r>
    </w:p>
    <w:p>
      <w:pPr>
        <w:pStyle w:val="Heading1"/>
      </w:pPr>
      <w:r>
        <w:t>1 Resultado frente a la rúbrica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1134"/>
        <w:gridCol w:w="4819"/>
      </w:tblGrid>
      <w:tr>
        <w:trPr>
          <w:tblHeader w:val="true"/>
        </w:trPr>
        <w:tc>
          <w:tcPr>
            <w:tcW w:type="dxa" w:w="2268"/>
            <w:shd w:fill="163A4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Criterio</w:t>
            </w:r>
          </w:p>
        </w:tc>
        <w:tc>
          <w:tcPr>
            <w:tcW w:type="dxa" w:w="1134"/>
            <w:shd w:fill="163A4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Puntaje</w:t>
            </w:r>
          </w:p>
        </w:tc>
        <w:tc>
          <w:tcPr>
            <w:tcW w:type="dxa" w:w="4819"/>
            <w:shd w:fill="163A4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Evidencia del proyecto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Diseño de la solución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3</w:t>
            </w:r>
          </w:p>
        </w:tc>
        <w:tc>
          <w:tcPr>
            <w:tcW w:type="dxa" w:w="481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MVC, TDD, DAO, SOLID y controles de seguridad</w:t>
            </w:r>
          </w:p>
        </w:tc>
      </w:tr>
      <w:tr>
        <w:trPr>
          <w:cantSplit/>
        </w:trPr>
        <w:tc>
          <w:tcPr>
            <w:tcW w:type="dxa" w:w="2268"/>
            <w:shd w:fill="F3F5F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Recursos Java</w:t>
            </w:r>
          </w:p>
        </w:tc>
        <w:tc>
          <w:tcPr>
            <w:tcW w:type="dxa" w:w="1134"/>
            <w:shd w:fill="F3F5F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2</w:t>
            </w:r>
          </w:p>
        </w:tc>
        <w:tc>
          <w:tcPr>
            <w:tcW w:type="dxa" w:w="4819"/>
            <w:shd w:fill="F3F5F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Guava, Apache POI, Apache Commons y Logback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Git y GitHub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3</w:t>
            </w:r>
          </w:p>
        </w:tc>
        <w:tc>
          <w:tcPr>
            <w:tcW w:type="dxa" w:w="481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Código, pruebas y entregables versionados</w:t>
            </w:r>
          </w:p>
        </w:tc>
      </w:tr>
      <w:tr>
        <w:trPr>
          <w:cantSplit/>
        </w:trPr>
        <w:tc>
          <w:tcPr>
            <w:tcW w:type="dxa" w:w="2268"/>
            <w:shd w:fill="F3F5F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Interfaces gráficas</w:t>
            </w:r>
          </w:p>
        </w:tc>
        <w:tc>
          <w:tcPr>
            <w:tcW w:type="dxa" w:w="1134"/>
            <w:shd w:fill="F3F5F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6</w:t>
            </w:r>
          </w:p>
        </w:tc>
        <w:tc>
          <w:tcPr>
            <w:tcW w:type="dxa" w:w="4819"/>
            <w:shd w:fill="F3F5F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Quince componentes funcionales del alcance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Producto final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4</w:t>
            </w:r>
          </w:p>
        </w:tc>
        <w:tc>
          <w:tcPr>
            <w:tcW w:type="dxa" w:w="481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Código, documentación, pruebas y demostración coherentes</w:t>
            </w:r>
          </w:p>
        </w:tc>
      </w:tr>
      <w:tr>
        <w:trPr>
          <w:cantSplit/>
        </w:trPr>
        <w:tc>
          <w:tcPr>
            <w:tcW w:type="dxa" w:w="2268"/>
            <w:shd w:fill="F3F5F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Sustentación</w:t>
            </w:r>
          </w:p>
        </w:tc>
        <w:tc>
          <w:tcPr>
            <w:tcW w:type="dxa" w:w="1134"/>
            <w:shd w:fill="F3F5F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2</w:t>
            </w:r>
          </w:p>
        </w:tc>
        <w:tc>
          <w:tcPr>
            <w:tcW w:type="dxa" w:w="4819"/>
            <w:shd w:fill="F3F5F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Presentación y guion para diez minutos</w:t>
            </w:r>
          </w:p>
        </w:tc>
      </w:tr>
    </w:tbl>
    <w:p>
      <w:pPr>
        <w:spacing w:after="20"/>
      </w:pPr>
    </w:p>
    <w:p>
      <w:pPr>
        <w:pStyle w:val="Heading1"/>
      </w:pPr>
      <w:r>
        <w:t>2 Alcance funcional implementado</w:t>
      </w:r>
    </w:p>
    <w:p>
      <w:r>
        <w:t>La aplicación organiza el ciclo operativo de catering desde el registro del cliente hasta el cierre del evento. Una cotización aprobada crea un evento, conserva el precio histórico, calcula pagos y saldos, determina requerimientos de insumos y registra las operaciones críticas en auditoría.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4535"/>
        <w:gridCol w:w="1871"/>
      </w:tblGrid>
      <w:tr>
        <w:trPr>
          <w:tblHeader w:val="true"/>
        </w:trPr>
        <w:tc>
          <w:tcPr>
            <w:tcW w:type="dxa" w:w="1814"/>
            <w:shd w:fill="163A4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Área</w:t>
            </w:r>
          </w:p>
        </w:tc>
        <w:tc>
          <w:tcPr>
            <w:tcW w:type="dxa" w:w="4535"/>
            <w:shd w:fill="163A4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Funciones disponibles</w:t>
            </w:r>
          </w:p>
        </w:tc>
        <w:tc>
          <w:tcPr>
            <w:tcW w:type="dxa" w:w="1871"/>
            <w:shd w:fill="163A4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Rol principal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Comercial</w:t>
            </w:r>
          </w:p>
        </w:tc>
        <w:tc>
          <w:tcPr>
            <w:tcW w:type="dxa" w:w="45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Clientes, catálogo, cotizaciones, propuesta y aprobación</w:t>
            </w:r>
          </w:p>
        </w:tc>
        <w:tc>
          <w:tcPr>
            <w:tcW w:type="dxa" w:w="187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ADMIN o COORDINADOR</w:t>
            </w:r>
          </w:p>
        </w:tc>
      </w:tr>
      <w:tr>
        <w:trPr>
          <w:cantSplit/>
        </w:trPr>
        <w:tc>
          <w:tcPr>
            <w:tcW w:type="dxa" w:w="1814"/>
            <w:shd w:fill="F3F5F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Operaciones</w:t>
            </w:r>
          </w:p>
        </w:tc>
        <w:tc>
          <w:tcPr>
            <w:tcW w:type="dxa" w:w="4535"/>
            <w:shd w:fill="F3F5F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Calendario, ficha del evento, tareas y requerimientos</w:t>
            </w:r>
          </w:p>
        </w:tc>
        <w:tc>
          <w:tcPr>
            <w:tcW w:type="dxa" w:w="1871"/>
            <w:shd w:fill="F3F5F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Todos los roles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Almacén</w:t>
            </w:r>
          </w:p>
        </w:tc>
        <w:tc>
          <w:tcPr>
            <w:tcW w:type="dxa" w:w="45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Stock, entradas, salidas y ajustes</w:t>
            </w:r>
          </w:p>
        </w:tc>
        <w:tc>
          <w:tcPr>
            <w:tcW w:type="dxa" w:w="187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ADMIN o ALMACEN</w:t>
            </w:r>
          </w:p>
        </w:tc>
      </w:tr>
      <w:tr>
        <w:trPr>
          <w:cantSplit/>
        </w:trPr>
        <w:tc>
          <w:tcPr>
            <w:tcW w:type="dxa" w:w="1814"/>
            <w:shd w:fill="F3F5F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Finanzas</w:t>
            </w:r>
          </w:p>
        </w:tc>
        <w:tc>
          <w:tcPr>
            <w:tcW w:type="dxa" w:w="4535"/>
            <w:shd w:fill="F3F5F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Pagos, saldos, anulaciones y reportes</w:t>
            </w:r>
          </w:p>
        </w:tc>
        <w:tc>
          <w:tcPr>
            <w:tcW w:type="dxa" w:w="1871"/>
            <w:shd w:fill="F3F5F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ADMIN o COORDINADOR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Administración</w:t>
            </w:r>
          </w:p>
        </w:tc>
        <w:tc>
          <w:tcPr>
            <w:tcW w:type="dxa" w:w="45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Usuarios, roles y auditoría</w:t>
            </w:r>
          </w:p>
        </w:tc>
        <w:tc>
          <w:tcPr>
            <w:tcW w:type="dxa" w:w="187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ADMIN</w:t>
            </w:r>
          </w:p>
        </w:tc>
      </w:tr>
    </w:tbl>
    <w:p>
      <w:pPr>
        <w:spacing w:after="20"/>
      </w:pPr>
    </w:p>
    <w:p>
      <w:pPr>
        <w:pStyle w:val="Heading1"/>
      </w:pPr>
      <w:r>
        <w:t>3 Arquitectura de la solución</w:t>
      </w:r>
    </w:p>
    <w:p>
      <w:r>
        <w:t>El navegador envía solicitudes a WebController. El controlador prepara los datos de la vista y delega las reglas a BusinessService o ExcelReportService. Los repositorios Spring Data JPA encapsulan la persistencia en H2 o MySQL. Thymeleaf genera las respuestas HTML.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36290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ML_Clas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6290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b/>
          <w:color w:val="1F6D5A"/>
          <w:sz w:val="18"/>
        </w:rPr>
        <w:t>Figura 1  Diagrama de clases del dominio ClanRest</w:t>
      </w:r>
    </w:p>
    <w:p>
      <w:pPr>
        <w:pStyle w:val="Heading2"/>
      </w:pPr>
      <w:r>
        <w:t>3 1 Aplicación de MVC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2835"/>
        <w:gridCol w:w="3685"/>
      </w:tblGrid>
      <w:tr>
        <w:trPr>
          <w:tblHeader w:val="true"/>
        </w:trPr>
        <w:tc>
          <w:tcPr>
            <w:tcW w:type="dxa" w:w="1701"/>
            <w:shd w:fill="163A4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Capa</w:t>
            </w:r>
          </w:p>
        </w:tc>
        <w:tc>
          <w:tcPr>
            <w:tcW w:type="dxa" w:w="2835"/>
            <w:shd w:fill="163A4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Elementos</w:t>
            </w:r>
          </w:p>
        </w:tc>
        <w:tc>
          <w:tcPr>
            <w:tcW w:type="dxa" w:w="3685"/>
            <w:shd w:fill="163A4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Responsabilidad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Modelo</w:t>
            </w:r>
          </w:p>
        </w:tc>
        <w:tc>
          <w:tcPr>
            <w:tcW w:type="dxa" w:w="2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Entidades JPA y servicios</w:t>
            </w:r>
          </w:p>
        </w:tc>
        <w:tc>
          <w:tcPr>
            <w:tcW w:type="dxa" w:w="368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Representa datos y aplica reglas de negocio</w:t>
            </w:r>
          </w:p>
        </w:tc>
      </w:tr>
      <w:tr>
        <w:trPr>
          <w:cantSplit/>
        </w:trPr>
        <w:tc>
          <w:tcPr>
            <w:tcW w:type="dxa" w:w="1701"/>
            <w:shd w:fill="F3F5F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Vista</w:t>
            </w:r>
          </w:p>
        </w:tc>
        <w:tc>
          <w:tcPr>
            <w:tcW w:type="dxa" w:w="2835"/>
            <w:shd w:fill="F3F5F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Plantillas Thymeleaf y Bootstrap</w:t>
            </w:r>
          </w:p>
        </w:tc>
        <w:tc>
          <w:tcPr>
            <w:tcW w:type="dxa" w:w="3685"/>
            <w:shd w:fill="F3F5F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Presenta formularios, tablas, indicadores y mensajes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Controlador</w:t>
            </w:r>
          </w:p>
        </w:tc>
        <w:tc>
          <w:tcPr>
            <w:tcW w:type="dxa" w:w="2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WebController y ErrorAdvice</w:t>
            </w:r>
          </w:p>
        </w:tc>
        <w:tc>
          <w:tcPr>
            <w:tcW w:type="dxa" w:w="368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Atiende HTTP, valida parámetros y selecciona la respuesta</w:t>
            </w:r>
          </w:p>
        </w:tc>
      </w:tr>
    </w:tbl>
    <w:p>
      <w:pPr>
        <w:spacing w:after="20"/>
      </w:pPr>
    </w:p>
    <w:p>
      <w:pPr>
        <w:pStyle w:val="Heading2"/>
      </w:pPr>
      <w:r>
        <w:t>3 2 DAO</w:t>
      </w:r>
    </w:p>
    <w:p>
      <w:r>
        <w:t>Las once interfaces de repositorio extienden JpaRepository. Esta capa concentra consultas, bloqueos optimistas y persistencia. Los controladores no contienen SQL y el cambio entre H2 y MySQL se resuelve con configuración.</w:t>
      </w:r>
    </w:p>
    <w:p>
      <w:pPr>
        <w:pStyle w:val="Heading2"/>
      </w:pPr>
      <w:r>
        <w:t>3 3 Principios SOLID</w:t>
      </w:r>
    </w:p>
    <w:p>
      <w:pPr>
        <w:pStyle w:val="ListBullet"/>
      </w:pPr>
      <w:r>
        <w:t>Responsabilidad única: ExcelReportService genera el archivo y no consulta la base de datos.</w:t>
      </w:r>
    </w:p>
    <w:p>
      <w:pPr>
        <w:pStyle w:val="ListBullet"/>
      </w:pPr>
      <w:r>
        <w:t>Inversión de dependencias: Spring inyecta servicios y repositorios por constructor.</w:t>
      </w:r>
    </w:p>
    <w:p>
      <w:pPr>
        <w:pStyle w:val="ListBullet"/>
      </w:pPr>
      <w:r>
        <w:t>Abierto y cerrado: la exportación XLSX amplía Reportes sin cambiar los repositorios.</w:t>
      </w:r>
    </w:p>
    <w:p>
      <w:pPr>
        <w:pStyle w:val="ListBullet"/>
      </w:pPr>
      <w:r>
        <w:t>Segregación de interfaces: cada repositorio pertenece a una entidad o agregado.</w:t>
      </w:r>
    </w:p>
    <w:p>
      <w:pPr>
        <w:pStyle w:val="ListBullet"/>
      </w:pPr>
      <w:r>
        <w:t>Sustitución: H2 y MySQL implementan la persistencia sin cambiar las reglas.</w:t>
      </w:r>
    </w:p>
    <w:p>
      <w:pPr>
        <w:pStyle w:val="Heading1"/>
      </w:pPr>
      <w:r>
        <w:t>4 Modelo de datos</w:t>
      </w:r>
    </w:p>
    <w:p>
      <w:r>
        <w:t>El modelo físico conserva claves foráneas entre clientes, cotizaciones, líneas, eventos, tareas, pagos, componentes y movimientos. Las versiones de las entidades principales permiten detectar actualizaciones concurrentes.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elo_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b/>
          <w:color w:val="1F6D5A"/>
          <w:sz w:val="18"/>
        </w:rPr>
        <w:t>Figura 2  Modelo entidad relación</w:t>
      </w:r>
    </w:p>
    <w:p>
      <w:pPr>
        <w:pStyle w:val="Heading1"/>
      </w:pPr>
      <w:r>
        <w:t>5 Recursos Java incorporados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3572"/>
        <w:gridCol w:w="2835"/>
      </w:tblGrid>
      <w:tr>
        <w:trPr>
          <w:tblHeader w:val="true"/>
        </w:trPr>
        <w:tc>
          <w:tcPr>
            <w:tcW w:type="dxa" w:w="1814"/>
            <w:shd w:fill="163A4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Librería</w:t>
            </w:r>
          </w:p>
        </w:tc>
        <w:tc>
          <w:tcPr>
            <w:tcW w:type="dxa" w:w="3572"/>
            <w:shd w:fill="163A4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Uso real</w:t>
            </w:r>
          </w:p>
        </w:tc>
        <w:tc>
          <w:tcPr>
            <w:tcW w:type="dxa" w:w="2835"/>
            <w:shd w:fill="163A4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Resultado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Google Guava</w:t>
            </w:r>
          </w:p>
        </w:tc>
        <w:tc>
          <w:tcPr>
            <w:tcW w:type="dxa" w:w="35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ImmutableList y Preconditions</w:t>
            </w:r>
          </w:p>
        </w:tc>
        <w:tc>
          <w:tcPr>
            <w:tcW w:type="dxa" w:w="2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Encabezados inmutables y límite de 10 000 filas</w:t>
            </w:r>
          </w:p>
        </w:tc>
      </w:tr>
      <w:tr>
        <w:trPr>
          <w:cantSplit/>
        </w:trPr>
        <w:tc>
          <w:tcPr>
            <w:tcW w:type="dxa" w:w="1814"/>
            <w:shd w:fill="F3F5F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Apache POI</w:t>
            </w:r>
          </w:p>
        </w:tc>
        <w:tc>
          <w:tcPr>
            <w:tcW w:type="dxa" w:w="3572"/>
            <w:shd w:fill="F3F5F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XSSFWorkbook, estilos, filtro y formato monetario</w:t>
            </w:r>
          </w:p>
        </w:tc>
        <w:tc>
          <w:tcPr>
            <w:tcW w:type="dxa" w:w="2835"/>
            <w:shd w:fill="F3F5F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Archivo XLSX descargable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Apache Commons</w:t>
            </w:r>
          </w:p>
        </w:tc>
        <w:tc>
          <w:tcPr>
            <w:tcW w:type="dxa" w:w="35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StringUtils para normalizar y abreviar texto</w:t>
            </w:r>
          </w:p>
        </w:tc>
        <w:tc>
          <w:tcPr>
            <w:tcW w:type="dxa" w:w="2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Celdas consistentes y acotadas</w:t>
            </w:r>
          </w:p>
        </w:tc>
      </w:tr>
      <w:tr>
        <w:trPr>
          <w:cantSplit/>
        </w:trPr>
        <w:tc>
          <w:tcPr>
            <w:tcW w:type="dxa" w:w="1814"/>
            <w:shd w:fill="F3F5F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Logback</w:t>
            </w:r>
          </w:p>
        </w:tc>
        <w:tc>
          <w:tcPr>
            <w:tcW w:type="dxa" w:w="3572"/>
            <w:shd w:fill="F3F5F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Logger técnico y configuración propia</w:t>
            </w:r>
          </w:p>
        </w:tc>
        <w:tc>
          <w:tcPr>
            <w:tcW w:type="dxa" w:w="2835"/>
            <w:shd w:fill="F3F5F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Registro del volumen exportado sin datos personales</w:t>
            </w:r>
          </w:p>
        </w:tc>
      </w:tr>
    </w:tbl>
    <w:p>
      <w:pPr>
        <w:spacing w:after="20"/>
      </w:pPr>
    </w:p>
    <w:p>
      <w:r>
        <w:t>Las dependencias se declaran en pom.xml. El servicio usa las cuatro librerías en una función visible de la pantalla de Reportes, lo que permite demostrar su utilidad durante la exposición.</w:t>
      </w:r>
    </w:p>
    <w:p>
      <w:pPr>
        <w:pStyle w:val="Heading1"/>
      </w:pPr>
      <w:r>
        <w:t>6 Exportación de eventos a Excel</w:t>
      </w:r>
    </w:p>
    <w:p>
      <w:r>
        <w:t>La pantalla de Reportes mantiene la exportación CSV y añade una descarga XLSX. El archivo contiene evento, fecha, cliente, estado, total, importe cobrado y saldo. La hoja incluye encabezados, filtro y formato monetario.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52160" cy="474208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portes-exce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7420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b/>
          <w:color w:val="1F6D5A"/>
          <w:sz w:val="18"/>
        </w:rPr>
        <w:t>Figura 3  Pantalla funcional de Reportes con exportación Excel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rPr>
          <w:cantSplit/>
        </w:trPr>
        <w:tc>
          <w:tcPr>
            <w:tcW w:type="dxa" w:w="9746"/>
            <w:shd w:fill="1E293B"/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ascadia Mono" w:hAnsi="Cascadia Mono"/>
                <w:color w:val="F0F5F5"/>
                <w:sz w:val="16"/>
              </w:rPr>
              <w:t>@GetMapping("/reports/export/xlsx")</w:t>
              <w:br/>
              <w:t>public ResponseEntity&lt;byte[]&gt; exportXlsx(...) throws IOException {</w:t>
              <w:br/>
              <w:t xml:space="preserve">    var rows = reportEvents(from, to).stream()</w:t>
              <w:br/>
              <w:t xml:space="preserve">        .map(e -&gt; new EventReportRow(...)).toList();</w:t>
              <w:br/>
              <w:t xml:space="preserve">    return ResponseEntity.ok().body(excelReports.generate(rows));</w:t>
              <w:br/>
              <w:t>}</w:t>
            </w:r>
          </w:p>
        </w:tc>
      </w:tr>
    </w:tbl>
    <w:p>
      <w:pPr>
        <w:spacing w:after="20"/>
      </w:pPr>
    </w:p>
    <w:p>
      <w:pPr>
        <w:pStyle w:val="Heading2"/>
      </w:pPr>
      <w:r>
        <w:t>6 1 Controles de la exportación</w:t>
      </w:r>
    </w:p>
    <w:p>
      <w:pPr>
        <w:pStyle w:val="ListBullet"/>
      </w:pPr>
      <w:r>
        <w:t>La ruta requiere ADMIN o COORDINADOR mediante Spring Security.</w:t>
      </w:r>
    </w:p>
    <w:p>
      <w:pPr>
        <w:pStyle w:val="ListBullet"/>
      </w:pPr>
      <w:r>
        <w:t>El servicio rechaza más de 10 000 filas para proteger la memoria.</w:t>
      </w:r>
    </w:p>
    <w:p>
      <w:pPr>
        <w:pStyle w:val="ListBullet"/>
      </w:pPr>
      <w:r>
        <w:t>Los textos que empiezan con caracteres de fórmula reciben un apóstrofo.</w:t>
      </w:r>
    </w:p>
    <w:p>
      <w:pPr>
        <w:pStyle w:val="ListBullet"/>
      </w:pPr>
      <w:r>
        <w:t>El registro de Logback incluye la cantidad de eventos, sin nombres ni importes.</w:t>
      </w:r>
    </w:p>
    <w:p>
      <w:pPr>
        <w:pStyle w:val="Heading1"/>
      </w:pPr>
      <w:r>
        <w:t>7 Desarrollo guiado por pruebas</w:t>
      </w:r>
    </w:p>
    <w:p>
      <w:r>
        <w:t>Se escribieron tres pruebas de ExcelReportService antes de crear la clase. La primera ejecución produjo el estado RED porque el compilador no encontraba el servicio. Después se implementó el comportamiento mínimo y la ejecución GREEN aprobó los tres casos.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4819"/>
        <w:gridCol w:w="1701"/>
      </w:tblGrid>
      <w:tr>
        <w:trPr>
          <w:tblHeader w:val="true"/>
        </w:trPr>
        <w:tc>
          <w:tcPr>
            <w:tcW w:type="dxa" w:w="1701"/>
            <w:shd w:fill="163A4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Caso</w:t>
            </w:r>
          </w:p>
        </w:tc>
        <w:tc>
          <w:tcPr>
            <w:tcW w:type="dxa" w:w="4819"/>
            <w:shd w:fill="163A4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Comportamiento esperado</w:t>
            </w:r>
          </w:p>
        </w:tc>
        <w:tc>
          <w:tcPr>
            <w:tcW w:type="dxa" w:w="1701"/>
            <w:shd w:fill="163A4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Resultado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Libro válido</w:t>
            </w:r>
          </w:p>
        </w:tc>
        <w:tc>
          <w:tcPr>
            <w:tcW w:type="dxa" w:w="481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Encabezados, cliente y monto correctos</w:t>
            </w:r>
          </w:p>
        </w:tc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Aprobado</w:t>
            </w:r>
          </w:p>
        </w:tc>
      </w:tr>
      <w:tr>
        <w:trPr>
          <w:cantSplit/>
        </w:trPr>
        <w:tc>
          <w:tcPr>
            <w:tcW w:type="dxa" w:w="1701"/>
            <w:shd w:fill="F3F5F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Fórmula</w:t>
            </w:r>
          </w:p>
        </w:tc>
        <w:tc>
          <w:tcPr>
            <w:tcW w:type="dxa" w:w="4819"/>
            <w:shd w:fill="F3F5F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La celda conserva tipo texto y contenido seguro</w:t>
            </w:r>
          </w:p>
        </w:tc>
        <w:tc>
          <w:tcPr>
            <w:tcW w:type="dxa" w:w="1701"/>
            <w:shd w:fill="F3F5F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Aprobado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Volumen</w:t>
            </w:r>
          </w:p>
        </w:tc>
        <w:tc>
          <w:tcPr>
            <w:tcW w:type="dxa" w:w="481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Más de 10 000 filas produce excepción controlada</w:t>
            </w:r>
          </w:p>
        </w:tc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Aprobado</w:t>
            </w:r>
          </w:p>
        </w:tc>
      </w:tr>
      <w:tr>
        <w:trPr>
          <w:cantSplit/>
        </w:trPr>
        <w:tc>
          <w:tcPr>
            <w:tcW w:type="dxa" w:w="1701"/>
            <w:shd w:fill="F3F5F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Integración</w:t>
            </w:r>
          </w:p>
        </w:tc>
        <w:tc>
          <w:tcPr>
            <w:tcW w:type="dxa" w:w="4819"/>
            <w:shd w:fill="F3F5F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El endpoint responde XLSX y Apache POI abre la hoja</w:t>
            </w:r>
          </w:p>
        </w:tc>
        <w:tc>
          <w:tcPr>
            <w:tcW w:type="dxa" w:w="1701"/>
            <w:shd w:fill="F3F5F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Aprobado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rPr>
          <w:cantSplit/>
        </w:trPr>
        <w:tc>
          <w:tcPr>
            <w:tcW w:type="dxa" w:w="9746"/>
            <w:shd w:fill="1E293B"/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ascadia Mono" w:hAnsi="Cascadia Mono"/>
                <w:color w:val="F0F5F5"/>
                <w:sz w:val="16"/>
              </w:rPr>
              <w:t>RED    cannot find symbol: class ExcelReportService</w:t>
              <w:br/>
              <w:t>GREEN  Tests run: 3, Failures: 0, Errors: 0</w:t>
              <w:br/>
              <w:t>FINAL  Tests run: 20, Failures: 0, Errors: 0</w:t>
            </w:r>
          </w:p>
        </w:tc>
      </w:tr>
    </w:tbl>
    <w:p>
      <w:pPr>
        <w:spacing w:after="20"/>
      </w:pPr>
    </w:p>
    <w:p>
      <w:pPr>
        <w:pStyle w:val="Heading1"/>
      </w:pPr>
      <w:r>
        <w:t>8 Seguridad aplicada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3969"/>
        <w:gridCol w:w="2324"/>
      </w:tblGrid>
      <w:tr>
        <w:trPr>
          <w:tblHeader w:val="true"/>
        </w:trPr>
        <w:tc>
          <w:tcPr>
            <w:tcW w:type="dxa" w:w="1928"/>
            <w:shd w:fill="163A4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Riesgo</w:t>
            </w:r>
          </w:p>
        </w:tc>
        <w:tc>
          <w:tcPr>
            <w:tcW w:type="dxa" w:w="3969"/>
            <w:shd w:fill="163A4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Control aplicado</w:t>
            </w:r>
          </w:p>
        </w:tc>
        <w:tc>
          <w:tcPr>
            <w:tcW w:type="dxa" w:w="2324"/>
            <w:shd w:fill="163A4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Evidencia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Acceso indebido</w:t>
            </w:r>
          </w:p>
        </w:tc>
        <w:tc>
          <w:tcPr>
            <w:tcW w:type="dxa" w:w="39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Rutas y métodos por rol</w:t>
            </w:r>
          </w:p>
        </w:tc>
        <w:tc>
          <w:tcPr>
            <w:tcW w:type="dxa" w:w="2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Pruebas de acceso permitido y prohibido</w:t>
            </w:r>
          </w:p>
        </w:tc>
      </w:tr>
      <w:tr>
        <w:trPr>
          <w:cantSplit/>
        </w:trPr>
        <w:tc>
          <w:tcPr>
            <w:tcW w:type="dxa" w:w="1928"/>
            <w:shd w:fill="F3F5F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Contraseñas expuestas</w:t>
            </w:r>
          </w:p>
        </w:tc>
        <w:tc>
          <w:tcPr>
            <w:tcW w:type="dxa" w:w="3969"/>
            <w:shd w:fill="F3F5F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BCrypt</w:t>
            </w:r>
          </w:p>
        </w:tc>
        <w:tc>
          <w:tcPr>
            <w:tcW w:type="dxa" w:w="2324"/>
            <w:shd w:fill="F3F5F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PasswordEncoder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Peticiones falsificadas</w:t>
            </w:r>
          </w:p>
        </w:tc>
        <w:tc>
          <w:tcPr>
            <w:tcW w:type="dxa" w:w="39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CSRF en formularios POST</w:t>
            </w:r>
          </w:p>
        </w:tc>
        <w:tc>
          <w:tcPr>
            <w:tcW w:type="dxa" w:w="2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Prueba de formulario de cliente</w:t>
            </w:r>
          </w:p>
        </w:tc>
      </w:tr>
      <w:tr>
        <w:trPr>
          <w:cantSplit/>
        </w:trPr>
        <w:tc>
          <w:tcPr>
            <w:tcW w:type="dxa" w:w="1928"/>
            <w:shd w:fill="F3F5F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Datos inválidos</w:t>
            </w:r>
          </w:p>
        </w:tc>
        <w:tc>
          <w:tcPr>
            <w:tcW w:type="dxa" w:w="3969"/>
            <w:shd w:fill="F3F5F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Reglas de longitud, formato, estados y cantidades</w:t>
            </w:r>
          </w:p>
        </w:tc>
        <w:tc>
          <w:tcPr>
            <w:tcW w:type="dxa" w:w="2324"/>
            <w:shd w:fill="F3F5F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Pruebas de servicio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Fórmulas en archivos</w:t>
            </w:r>
          </w:p>
        </w:tc>
        <w:tc>
          <w:tcPr>
            <w:tcW w:type="dxa" w:w="39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Neutralización de = + - @</w:t>
            </w:r>
          </w:p>
        </w:tc>
        <w:tc>
          <w:tcPr>
            <w:tcW w:type="dxa" w:w="2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Prueba unitaria de Excel</w:t>
            </w:r>
          </w:p>
        </w:tc>
      </w:tr>
      <w:tr>
        <w:trPr>
          <w:cantSplit/>
        </w:trPr>
        <w:tc>
          <w:tcPr>
            <w:tcW w:type="dxa" w:w="1928"/>
            <w:shd w:fill="F3F5F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Errores sensibles</w:t>
            </w:r>
          </w:p>
        </w:tc>
        <w:tc>
          <w:tcPr>
            <w:tcW w:type="dxa" w:w="3969"/>
            <w:shd w:fill="F3F5F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Mensajes controlados y trazas ocultas</w:t>
            </w:r>
          </w:p>
        </w:tc>
        <w:tc>
          <w:tcPr>
            <w:tcW w:type="dxa" w:w="2324"/>
            <w:shd w:fill="F3F5F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ErrorAdvice y propiedades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Cuenta modificada</w:t>
            </w:r>
          </w:p>
        </w:tc>
        <w:tc>
          <w:tcPr>
            <w:tcW w:type="dxa" w:w="39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Filtro que revoca la sesión anterior</w:t>
            </w:r>
          </w:p>
        </w:tc>
        <w:tc>
          <w:tcPr>
            <w:tcW w:type="dxa" w:w="2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Prueba de cambio de rol</w:t>
            </w:r>
          </w:p>
        </w:tc>
      </w:tr>
    </w:tbl>
    <w:p>
      <w:pPr>
        <w:spacing w:after="20"/>
      </w:pPr>
    </w:p>
    <w:p>
      <w:pPr>
        <w:pStyle w:val="Heading1"/>
      </w:pPr>
      <w:r>
        <w:t>9 Interfaces y cobertura del alcance</w:t>
      </w:r>
    </w:p>
    <w:p>
      <w:r>
        <w:t>La navegación ofrece interfaz para los quince componentes funcionales definidos en el proyecto. Las pruebas de integración renderizan las pantallas con ADMIN y comprueban las restricciones de COORDINADOR y ALMACEN.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1417"/>
        <w:gridCol w:w="2608"/>
        <w:gridCol w:w="1417"/>
      </w:tblGrid>
      <w:tr>
        <w:trPr>
          <w:tblHeader w:val="true"/>
        </w:trPr>
        <w:tc>
          <w:tcPr>
            <w:tcW w:type="dxa" w:w="2381"/>
            <w:shd w:fill="163A4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Componente</w:t>
            </w:r>
          </w:p>
        </w:tc>
        <w:tc>
          <w:tcPr>
            <w:tcW w:type="dxa" w:w="1417"/>
            <w:shd w:fill="163A4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Estado</w:t>
            </w:r>
          </w:p>
        </w:tc>
        <w:tc>
          <w:tcPr>
            <w:tcW w:type="dxa" w:w="2608"/>
            <w:shd w:fill="163A4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Componente</w:t>
            </w:r>
          </w:p>
        </w:tc>
        <w:tc>
          <w:tcPr>
            <w:tcW w:type="dxa" w:w="1417"/>
            <w:shd w:fill="163A4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Estado</w:t>
            </w:r>
          </w:p>
        </w:tc>
      </w:tr>
      <w:tr>
        <w:trPr>
          <w:cantSplit/>
        </w:trPr>
        <w:tc>
          <w:tcPr>
            <w:tcW w:type="dxa" w:w="238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Autenticación</w:t>
            </w:r>
          </w:p>
        </w:tc>
        <w:tc>
          <w:tcPr>
            <w:tcW w:type="dxa" w:w="141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Completo</w:t>
            </w:r>
          </w:p>
        </w:tc>
        <w:tc>
          <w:tcPr>
            <w:tcW w:type="dxa" w:w="26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Panel principal</w:t>
            </w:r>
          </w:p>
        </w:tc>
        <w:tc>
          <w:tcPr>
            <w:tcW w:type="dxa" w:w="141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Completo</w:t>
            </w:r>
          </w:p>
        </w:tc>
      </w:tr>
      <w:tr>
        <w:trPr>
          <w:cantSplit/>
        </w:trPr>
        <w:tc>
          <w:tcPr>
            <w:tcW w:type="dxa" w:w="2381"/>
            <w:shd w:fill="F3F5F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Clientes</w:t>
            </w:r>
          </w:p>
        </w:tc>
        <w:tc>
          <w:tcPr>
            <w:tcW w:type="dxa" w:w="1417"/>
            <w:shd w:fill="F3F5F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Completo</w:t>
            </w:r>
          </w:p>
        </w:tc>
        <w:tc>
          <w:tcPr>
            <w:tcW w:type="dxa" w:w="2608"/>
            <w:shd w:fill="F3F5F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Catálogo</w:t>
            </w:r>
          </w:p>
        </w:tc>
        <w:tc>
          <w:tcPr>
            <w:tcW w:type="dxa" w:w="1417"/>
            <w:shd w:fill="F3F5F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Completo</w:t>
            </w:r>
          </w:p>
        </w:tc>
      </w:tr>
      <w:tr>
        <w:trPr>
          <w:cantSplit/>
        </w:trPr>
        <w:tc>
          <w:tcPr>
            <w:tcW w:type="dxa" w:w="238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Recetas</w:t>
            </w:r>
          </w:p>
        </w:tc>
        <w:tc>
          <w:tcPr>
            <w:tcW w:type="dxa" w:w="141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Completo</w:t>
            </w:r>
          </w:p>
        </w:tc>
        <w:tc>
          <w:tcPr>
            <w:tcW w:type="dxa" w:w="26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Cotizaciones</w:t>
            </w:r>
          </w:p>
        </w:tc>
        <w:tc>
          <w:tcPr>
            <w:tcW w:type="dxa" w:w="141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Completo</w:t>
            </w:r>
          </w:p>
        </w:tc>
      </w:tr>
      <w:tr>
        <w:trPr>
          <w:cantSplit/>
        </w:trPr>
        <w:tc>
          <w:tcPr>
            <w:tcW w:type="dxa" w:w="2381"/>
            <w:shd w:fill="F3F5F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Aprobación</w:t>
            </w:r>
          </w:p>
        </w:tc>
        <w:tc>
          <w:tcPr>
            <w:tcW w:type="dxa" w:w="1417"/>
            <w:shd w:fill="F3F5F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Completo</w:t>
            </w:r>
          </w:p>
        </w:tc>
        <w:tc>
          <w:tcPr>
            <w:tcW w:type="dxa" w:w="2608"/>
            <w:shd w:fill="F3F5F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Calendario</w:t>
            </w:r>
          </w:p>
        </w:tc>
        <w:tc>
          <w:tcPr>
            <w:tcW w:type="dxa" w:w="1417"/>
            <w:shd w:fill="F3F5F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Completo</w:t>
            </w:r>
          </w:p>
        </w:tc>
      </w:tr>
      <w:tr>
        <w:trPr>
          <w:cantSplit/>
        </w:trPr>
        <w:tc>
          <w:tcPr>
            <w:tcW w:type="dxa" w:w="238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Ficha de evento</w:t>
            </w:r>
          </w:p>
        </w:tc>
        <w:tc>
          <w:tcPr>
            <w:tcW w:type="dxa" w:w="141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Completo</w:t>
            </w:r>
          </w:p>
        </w:tc>
        <w:tc>
          <w:tcPr>
            <w:tcW w:type="dxa" w:w="26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Inventario</w:t>
            </w:r>
          </w:p>
        </w:tc>
        <w:tc>
          <w:tcPr>
            <w:tcW w:type="dxa" w:w="141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Completo</w:t>
            </w:r>
          </w:p>
        </w:tc>
      </w:tr>
      <w:tr>
        <w:trPr>
          <w:cantSplit/>
        </w:trPr>
        <w:tc>
          <w:tcPr>
            <w:tcW w:type="dxa" w:w="2381"/>
            <w:shd w:fill="F3F5F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Pagos</w:t>
            </w:r>
          </w:p>
        </w:tc>
        <w:tc>
          <w:tcPr>
            <w:tcW w:type="dxa" w:w="1417"/>
            <w:shd w:fill="F3F5F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Completo</w:t>
            </w:r>
          </w:p>
        </w:tc>
        <w:tc>
          <w:tcPr>
            <w:tcW w:type="dxa" w:w="2608"/>
            <w:shd w:fill="F3F5F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Alertas</w:t>
            </w:r>
          </w:p>
        </w:tc>
        <w:tc>
          <w:tcPr>
            <w:tcW w:type="dxa" w:w="1417"/>
            <w:shd w:fill="F3F5F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Completo</w:t>
            </w:r>
          </w:p>
        </w:tc>
      </w:tr>
      <w:tr>
        <w:trPr>
          <w:cantSplit/>
        </w:trPr>
        <w:tc>
          <w:tcPr>
            <w:tcW w:type="dxa" w:w="238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Reportes</w:t>
            </w:r>
          </w:p>
        </w:tc>
        <w:tc>
          <w:tcPr>
            <w:tcW w:type="dxa" w:w="141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Completo</w:t>
            </w:r>
          </w:p>
        </w:tc>
        <w:tc>
          <w:tcPr>
            <w:tcW w:type="dxa" w:w="26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Usuarios y roles</w:t>
            </w:r>
          </w:p>
        </w:tc>
        <w:tc>
          <w:tcPr>
            <w:tcW w:type="dxa" w:w="141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Completo</w:t>
            </w:r>
          </w:p>
        </w:tc>
      </w:tr>
      <w:tr>
        <w:trPr>
          <w:cantSplit/>
        </w:trPr>
        <w:tc>
          <w:tcPr>
            <w:tcW w:type="dxa" w:w="2381"/>
            <w:shd w:fill="F3F5F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Auditoría</w:t>
            </w:r>
          </w:p>
        </w:tc>
        <w:tc>
          <w:tcPr>
            <w:tcW w:type="dxa" w:w="1417"/>
            <w:shd w:fill="F3F5F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Completo</w:t>
            </w:r>
          </w:p>
        </w:tc>
        <w:tc>
          <w:tcPr>
            <w:tcW w:type="dxa" w:w="2608"/>
            <w:shd w:fill="F3F5F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Diseño adaptable</w:t>
            </w:r>
          </w:p>
        </w:tc>
        <w:tc>
          <w:tcPr>
            <w:tcW w:type="dxa" w:w="1417"/>
            <w:shd w:fill="F3F5F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Completo</w:t>
            </w:r>
          </w:p>
        </w:tc>
      </w:tr>
    </w:tbl>
    <w:p>
      <w:pPr>
        <w:spacing w:after="20"/>
      </w:pPr>
    </w:p>
    <w:p>
      <w:pPr>
        <w:pStyle w:val="Heading1"/>
      </w:pPr>
      <w:r>
        <w:t>10 Calidad y documentación técnica</w:t>
      </w:r>
    </w:p>
    <w:p>
      <w:r>
        <w:t>Maven ejecutó 20 pruebas sin fallos y generó un reporte JaCoCo. La cobertura alcanzó 3144 de 3797 instrucciones, equivalente a 82.8 por ciento, y 148 de 296 ramas, equivalente a 50 por ciento. El Javadoc incluye las clases, paquetes y métodos públicos del proyecto.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4309"/>
        <w:gridCol w:w="2041"/>
      </w:tblGrid>
      <w:tr>
        <w:trPr>
          <w:tblHeader w:val="true"/>
        </w:trPr>
        <w:tc>
          <w:tcPr>
            <w:tcW w:type="dxa" w:w="1757"/>
            <w:shd w:fill="163A4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Entregable</w:t>
            </w:r>
          </w:p>
        </w:tc>
        <w:tc>
          <w:tcPr>
            <w:tcW w:type="dxa" w:w="4309"/>
            <w:shd w:fill="163A4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Ubicación</w:t>
            </w:r>
          </w:p>
        </w:tc>
        <w:tc>
          <w:tcPr>
            <w:tcW w:type="dxa" w:w="2041"/>
            <w:shd w:fill="163A4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Resultado</w:t>
            </w:r>
          </w:p>
        </w:tc>
      </w:tr>
      <w:tr>
        <w:trPr>
          <w:cantSplit/>
        </w:trPr>
        <w:tc>
          <w:tcPr>
            <w:tcW w:type="dxa" w:w="175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JAR</w:t>
            </w:r>
          </w:p>
        </w:tc>
        <w:tc>
          <w:tcPr>
            <w:tcW w:type="dxa" w:w="43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target/clanrest-1.0.0.jar</w:t>
            </w:r>
          </w:p>
        </w:tc>
        <w:tc>
          <w:tcPr>
            <w:tcW w:type="dxa" w:w="204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Generado</w:t>
            </w:r>
          </w:p>
        </w:tc>
      </w:tr>
      <w:tr>
        <w:trPr>
          <w:cantSplit/>
        </w:trPr>
        <w:tc>
          <w:tcPr>
            <w:tcW w:type="dxa" w:w="1757"/>
            <w:shd w:fill="F3F5F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Javadoc</w:t>
            </w:r>
          </w:p>
        </w:tc>
        <w:tc>
          <w:tcPr>
            <w:tcW w:type="dxa" w:w="4309"/>
            <w:shd w:fill="F3F5F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documentacion/avance3/Javadoc_ClanRest.zip</w:t>
            </w:r>
          </w:p>
        </w:tc>
        <w:tc>
          <w:tcPr>
            <w:tcW w:type="dxa" w:w="2041"/>
            <w:shd w:fill="F3F5F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Generado</w:t>
            </w:r>
          </w:p>
        </w:tc>
      </w:tr>
      <w:tr>
        <w:trPr>
          <w:cantSplit/>
        </w:trPr>
        <w:tc>
          <w:tcPr>
            <w:tcW w:type="dxa" w:w="175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Cobertura</w:t>
            </w:r>
          </w:p>
        </w:tc>
        <w:tc>
          <w:tcPr>
            <w:tcW w:type="dxa" w:w="43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documentacion/avance3/Cobertura_JaCoCo.zip</w:t>
            </w:r>
          </w:p>
        </w:tc>
        <w:tc>
          <w:tcPr>
            <w:tcW w:type="dxa" w:w="204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Generado</w:t>
            </w:r>
          </w:p>
        </w:tc>
      </w:tr>
      <w:tr>
        <w:trPr>
          <w:cantSplit/>
        </w:trPr>
        <w:tc>
          <w:tcPr>
            <w:tcW w:type="dxa" w:w="1757"/>
            <w:shd w:fill="F3F5F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Pruebas</w:t>
            </w:r>
          </w:p>
        </w:tc>
        <w:tc>
          <w:tcPr>
            <w:tcW w:type="dxa" w:w="4309"/>
            <w:shd w:fill="F3F5F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target/surefire-reports</w:t>
            </w:r>
          </w:p>
        </w:tc>
        <w:tc>
          <w:tcPr>
            <w:tcW w:type="dxa" w:w="2041"/>
            <w:shd w:fill="F3F5F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20 aprobadas</w:t>
            </w:r>
          </w:p>
        </w:tc>
      </w:tr>
      <w:tr>
        <w:trPr>
          <w:cantSplit/>
        </w:trPr>
        <w:tc>
          <w:tcPr>
            <w:tcW w:type="dxa" w:w="175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Evidencia completa</w:t>
            </w:r>
          </w:p>
        </w:tc>
        <w:tc>
          <w:tcPr>
            <w:tcW w:type="dxa" w:w="43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evidencias/compilacion-pruebas-javadoc.txt</w:t>
            </w:r>
          </w:p>
        </w:tc>
        <w:tc>
          <w:tcPr>
            <w:tcW w:type="dxa" w:w="204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Disponible</w:t>
            </w:r>
          </w:p>
        </w:tc>
      </w:tr>
    </w:tbl>
    <w:p>
      <w:pPr>
        <w:spacing w:after="20"/>
      </w:pPr>
    </w:p>
    <w:p>
      <w:pPr>
        <w:pStyle w:val="Heading1"/>
      </w:pPr>
      <w:r>
        <w:t>11 Control de versiones</w:t>
      </w:r>
    </w:p>
    <w:p>
      <w:r>
        <w:t>El repositorio GitHub conserva el código fuente, las pruebas, los diagramas y los entregables. El Avance 3 agrupa una funcionalidad nueva, pruebas unitarias y de integración, configuración de librerías, documentación, informe y presentación. La automatización de GitHub ejecuta Maven para detectar errores antes de aceptar cambios.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5953"/>
      </w:tblGrid>
      <w:tr>
        <w:trPr>
          <w:tblHeader w:val="true"/>
        </w:trPr>
        <w:tc>
          <w:tcPr>
            <w:tcW w:type="dxa" w:w="2268"/>
            <w:shd w:fill="163A4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Práctica</w:t>
            </w:r>
          </w:p>
        </w:tc>
        <w:tc>
          <w:tcPr>
            <w:tcW w:type="dxa" w:w="5953"/>
            <w:shd w:fill="163A4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Aplicación en ClanRest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Repositorio remoto</w:t>
            </w:r>
          </w:p>
        </w:tc>
        <w:tc>
          <w:tcPr>
            <w:tcW w:type="dxa" w:w="595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Mehito-Pex/clanrest-gestion</w:t>
            </w:r>
          </w:p>
        </w:tc>
      </w:tr>
      <w:tr>
        <w:trPr>
          <w:cantSplit/>
        </w:trPr>
        <w:tc>
          <w:tcPr>
            <w:tcW w:type="dxa" w:w="2268"/>
            <w:shd w:fill="F3F5F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Rama principal</w:t>
            </w:r>
          </w:p>
        </w:tc>
        <w:tc>
          <w:tcPr>
            <w:tcW w:type="dxa" w:w="5953"/>
            <w:shd w:fill="F3F5F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main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Cambios rastreables</w:t>
            </w:r>
          </w:p>
        </w:tc>
        <w:tc>
          <w:tcPr>
            <w:tcW w:type="dxa" w:w="595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Código, prueba y evidencia se versionan juntos</w:t>
            </w:r>
          </w:p>
        </w:tc>
      </w:tr>
      <w:tr>
        <w:trPr>
          <w:cantSplit/>
        </w:trPr>
        <w:tc>
          <w:tcPr>
            <w:tcW w:type="dxa" w:w="2268"/>
            <w:shd w:fill="F3F5F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Archivos excluidos</w:t>
            </w:r>
          </w:p>
        </w:tc>
        <w:tc>
          <w:tcPr>
            <w:tcW w:type="dxa" w:w="5953"/>
            <w:shd w:fill="F3F5F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target, datos locales, runtimes, secretos y logs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Integración continua</w:t>
            </w:r>
          </w:p>
        </w:tc>
        <w:tc>
          <w:tcPr>
            <w:tcW w:type="dxa" w:w="595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Workflow Maven en .github/workflows/ci.yml</w:t>
            </w:r>
          </w:p>
        </w:tc>
      </w:tr>
    </w:tbl>
    <w:p>
      <w:pPr>
        <w:spacing w:after="20"/>
      </w:pPr>
    </w:p>
    <w:p>
      <w:pPr>
        <w:pStyle w:val="Heading1"/>
      </w:pPr>
      <w:r>
        <w:t>12 Coherencia y límites del producto</w:t>
      </w:r>
    </w:p>
    <w:p>
      <w:r>
        <w:t>El código, las pantallas y la matriz de cobertura usan el mismo alcance. La demostración permite recorrer el ciclo cliente, cotización, aprobación, evento, pago y reporte. Los datos demo facilitan la exposición y no representan información empresarial real.</w:t>
      </w:r>
    </w:p>
    <w:p>
      <w:r>
        <w:t>Antes de un despliegue productivo se deben reemplazar las cuentas demo, desactivar la carga inicial, configurar HTTPS y secretos externos, validar MySQL en un servidor, ejecutar pruebas de carga y comprobar la restauración de respaldos.</w:t>
      </w:r>
    </w:p>
    <w:p>
      <w:pPr>
        <w:pStyle w:val="Heading1"/>
      </w:pPr>
      <w:r>
        <w:t>13 Sustentación</w:t>
      </w:r>
    </w:p>
    <w:p>
      <w:r>
        <w:t>La presentación distribuye la exposición en tres bloques. El primer integrante explica el contexto y la arquitectura. El segundo demuestra el flujo y las librerías. El tercero presenta TDD, pruebas y GitHub. El guion completo se adjunta en la carpeta del avance.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4"/>
        <w:gridCol w:w="4252"/>
        <w:gridCol w:w="1984"/>
      </w:tblGrid>
      <w:tr>
        <w:trPr>
          <w:tblHeader w:val="true"/>
        </w:trPr>
        <w:tc>
          <w:tcPr>
            <w:tcW w:type="dxa" w:w="1984"/>
            <w:shd w:fill="163A4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Bloque</w:t>
            </w:r>
          </w:p>
        </w:tc>
        <w:tc>
          <w:tcPr>
            <w:tcW w:type="dxa" w:w="4252"/>
            <w:shd w:fill="163A4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Contenido</w:t>
            </w:r>
          </w:p>
        </w:tc>
        <w:tc>
          <w:tcPr>
            <w:tcW w:type="dxa" w:w="1984"/>
            <w:shd w:fill="163A4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Tiempo</w:t>
            </w:r>
          </w:p>
        </w:tc>
      </w:tr>
      <w:tr>
        <w:trPr>
          <w:cantSplit/>
        </w:trPr>
        <w:tc>
          <w:tcPr>
            <w:tcW w:type="dxa" w:w="19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Arquitectura</w:t>
            </w:r>
          </w:p>
        </w:tc>
        <w:tc>
          <w:tcPr>
            <w:tcW w:type="dxa" w:w="42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Problema, alcance, MVC, DAO y SOLID</w:t>
            </w:r>
          </w:p>
        </w:tc>
        <w:tc>
          <w:tcPr>
            <w:tcW w:type="dxa" w:w="19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3 min</w:t>
            </w:r>
          </w:p>
        </w:tc>
      </w:tr>
      <w:tr>
        <w:trPr>
          <w:cantSplit/>
        </w:trPr>
        <w:tc>
          <w:tcPr>
            <w:tcW w:type="dxa" w:w="1984"/>
            <w:shd w:fill="F3F5F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Implementación</w:t>
            </w:r>
          </w:p>
        </w:tc>
        <w:tc>
          <w:tcPr>
            <w:tcW w:type="dxa" w:w="4252"/>
            <w:shd w:fill="F3F5F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Flujo, Excel, librerías y seguridad</w:t>
            </w:r>
          </w:p>
        </w:tc>
        <w:tc>
          <w:tcPr>
            <w:tcW w:type="dxa" w:w="1984"/>
            <w:shd w:fill="F3F5F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3 min</w:t>
            </w:r>
          </w:p>
        </w:tc>
      </w:tr>
      <w:tr>
        <w:trPr>
          <w:cantSplit/>
        </w:trPr>
        <w:tc>
          <w:tcPr>
            <w:tcW w:type="dxa" w:w="19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Calidad</w:t>
            </w:r>
          </w:p>
        </w:tc>
        <w:tc>
          <w:tcPr>
            <w:tcW w:type="dxa" w:w="42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TDD, 20 pruebas, cobertura y GitHub</w:t>
            </w:r>
          </w:p>
        </w:tc>
        <w:tc>
          <w:tcPr>
            <w:tcW w:type="dxa" w:w="19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3 min 30 s</w:t>
            </w:r>
          </w:p>
        </w:tc>
      </w:tr>
    </w:tbl>
    <w:p>
      <w:pPr>
        <w:spacing w:after="20"/>
      </w:pPr>
    </w:p>
    <w:p>
      <w:pPr>
        <w:pStyle w:val="Heading1"/>
      </w:pPr>
      <w:r>
        <w:t>14 Conclusiones</w:t>
      </w:r>
    </w:p>
    <w:p>
      <w:r>
        <w:t>ClanRest dispone de una arquitectura web funcional con separación entre interfaz, coordinación, reglas y persistencia. El Avance 3 añade una función comprobable de reportes Excel y utiliza los cuatro recursos Java exigidos.</w:t>
      </w:r>
    </w:p>
    <w:p>
      <w:r>
        <w:t>Las evidencias RED y GREEN documentan el proceso TDD. Las 20 pruebas, el reporte de cobertura, el Javadoc y el historial de GitHub permiten revisar el resultado sin depender únicamente de la exposición oral.</w:t>
      </w:r>
    </w:p>
    <w:p>
      <w:pPr>
        <w:pStyle w:val="Heading1"/>
      </w:pPr>
      <w:r>
        <w:t>Referencias</w:t>
      </w:r>
    </w:p>
    <w:p>
      <w:pPr>
        <w:pStyle w:val="ListBullet"/>
      </w:pPr>
      <w:r>
        <w:t>Spring Boot Reference Documentation  https://docs.spring.io/spring-boot/</w:t>
      </w:r>
    </w:p>
    <w:p>
      <w:pPr>
        <w:pStyle w:val="ListBullet"/>
      </w:pPr>
      <w:r>
        <w:t>Spring Security Reference  https://docs.spring.io/spring-security/reference/</w:t>
      </w:r>
    </w:p>
    <w:p>
      <w:pPr>
        <w:pStyle w:val="ListBullet"/>
      </w:pPr>
      <w:r>
        <w:t>Apache POI  https://poi.apache.org/</w:t>
      </w:r>
    </w:p>
    <w:p>
      <w:pPr>
        <w:pStyle w:val="ListBullet"/>
      </w:pPr>
      <w:r>
        <w:t>Google Guava  https://github.com/google/guava</w:t>
      </w:r>
    </w:p>
    <w:p>
      <w:pPr>
        <w:pStyle w:val="ListBullet"/>
      </w:pPr>
      <w:r>
        <w:t>Apache Commons Lang  https://commons.apache.org/proper/commons-lang/</w:t>
      </w:r>
    </w:p>
    <w:p>
      <w:pPr>
        <w:pStyle w:val="ListBullet"/>
      </w:pPr>
      <w:r>
        <w:t>Logback Manual  https://logback.qos.ch/manual/</w:t>
      </w:r>
    </w:p>
    <w:p>
      <w:pPr>
        <w:pStyle w:val="ListBullet"/>
      </w:pPr>
      <w:r>
        <w:t>Git Documentation  https://git-scm.com/doc</w:t>
      </w:r>
    </w:p>
    <w:sectPr w:rsidR="00FC693F" w:rsidRPr="0006063C" w:rsidSect="00034616">
      <w:footerReference w:type="default" r:id="rId9"/>
      <w:pgSz w:w="12240" w:h="15840"/>
      <w:pgMar w:top="1191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A5A5A"/>
        <w:sz w:val="16"/>
      </w:rPr>
      <w:t xml:space="preserve">ClanRest Gestión  Avance 3  Página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69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20" w:line="240" w:lineRule="auto" w:before="240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