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360" w:after="200"/>
        <w:jc w:val="left"/>
      </w:pPr>
      <w:r>
        <w:rPr>
          <w:rFonts w:ascii="Aptos Display" w:hAnsi="Aptos Display"/>
          <w:b/>
          <w:color w:val="000000"/>
          <w:sz w:val="56"/>
        </w:rPr>
        <w:t>Guía de ejecución y exposición de ClanRest Gestión</w:t>
      </w:r>
    </w:p>
    <w:p>
      <w:pPr>
        <w:spacing w:after="360"/>
      </w:pPr>
      <w:r>
        <w:rPr>
          <w:rFonts w:ascii="Aptos" w:hAnsi="Aptos"/>
          <w:b/>
          <w:color w:val="1D7A5C"/>
          <w:sz w:val="30"/>
        </w:rPr>
        <w:t>Avance de Proyecto Final 3</w:t>
      </w:r>
    </w:p>
    <w:p>
      <w:pPr>
        <w:spacing w:after="240"/>
      </w:pPr>
      <w:r>
        <w:rPr>
          <w:rFonts w:ascii="Aptos" w:hAnsi="Aptos"/>
          <w:color w:val="000000"/>
          <w:sz w:val="22"/>
        </w:rPr>
        <w:t>Esta guía permite iniciar el sistema y explicar cada pantalla con frases breves. La demostración recomendada dura entre ocho y diez minutos y usa la cuenta ADMIN para mostrar el alcance completo.</w:t>
      </w:r>
    </w:p>
    <w:p>
      <w:pPr>
        <w:pStyle w:val="Heading1"/>
      </w:pPr>
      <w:r>
        <w:t>Cómo ejecutar el proyecto</w:t>
      </w:r>
    </w:p>
    <w:p>
      <w:pPr>
        <w:pStyle w:val="Heading2"/>
      </w:pPr>
      <w:r>
        <w:t>Opción rápida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1"/>
        </w:rPr>
        <w:t>Abre C:\Users\Daniel\Documents\ClanRest-Gestion.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1"/>
        </w:rPr>
        <w:t>Haz doble clic en INICIAR_CLANREST.cmd.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1"/>
        </w:rPr>
        <w:t>Espera hasta que la consola indique que la aplicación inició.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1"/>
        </w:rPr>
        <w:t>Abre http://127.0.0.1:8080 en Chrome o Edge.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1"/>
        </w:rPr>
        <w:t>Para detener el sistema, vuelve a la consola y presiona Ctrl+C.</w:t>
      </w:r>
    </w:p>
    <w:p>
      <w:pPr>
        <w:pStyle w:val="Heading2"/>
      </w:pPr>
      <w:r>
        <w:t>Opción desde el código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80"/>
      </w:tblGrid>
      <w:tr>
        <w:tc>
          <w:tcPr>
            <w:tcW w:type="dxa" w:w="9720"/>
            <w:shd w:fill="F2F4F6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92632"/>
                <w:sz w:val="19"/>
              </w:rPr>
              <w:t>cd C:\Users\Daniel\Documents\ClanRest-Gestion</w:t>
            </w:r>
            <w:r>
              <w:br/>
            </w:r>
            <w:r>
              <w:rPr>
                <w:rFonts w:ascii="Consolas" w:hAnsi="Consolas"/>
                <w:b w:val="0"/>
                <w:color w:val="192632"/>
                <w:sz w:val="19"/>
              </w:rPr>
              <w:t>mvn clean test package</w:t>
            </w:r>
            <w:r>
              <w:br/>
            </w:r>
            <w:r>
              <w:rPr>
                <w:rFonts w:ascii="Consolas" w:hAnsi="Consolas"/>
                <w:b w:val="0"/>
                <w:color w:val="192632"/>
                <w:sz w:val="19"/>
              </w:rPr>
              <w:t>java "-Duser.timezone=America/Lima" -jar target\clanrest-1.0.0.jar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rPr>
          <w:rFonts w:ascii="Aptos" w:hAnsi="Aptos"/>
          <w:color w:val="000000"/>
          <w:sz w:val="21"/>
        </w:rPr>
        <w:t>Si el puerto 8080 está ocupado, agrega --server.port=8081 al último comando.</w:t>
      </w:r>
    </w:p>
    <w:p>
      <w:pPr>
        <w:pStyle w:val="Heading2"/>
      </w:pPr>
      <w:r>
        <w:t>Cuentas de demostración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360"/>
        <w:gridCol w:w="3360"/>
        <w:gridCol w:w="3360"/>
      </w:tblGrid>
      <w:tr>
        <w:tc>
          <w:tcPr>
            <w:tcW w:type="dxa" w:w="3168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Usuario</w:t>
            </w:r>
          </w:p>
        </w:tc>
        <w:tc>
          <w:tcPr>
            <w:tcW w:type="dxa" w:w="3168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Rol</w:t>
            </w:r>
          </w:p>
        </w:tc>
        <w:tc>
          <w:tcPr>
            <w:tcW w:type="dxa" w:w="3168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Contraseña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00000"/>
                <w:sz w:val="20"/>
              </w:rPr>
              <w:t>admin</w:t>
            </w:r>
          </w:p>
        </w:tc>
        <w:tc>
          <w:tcPr>
            <w:tcW w:type="dxa" w:w="3168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000000"/>
                <w:sz w:val="20"/>
              </w:rPr>
              <w:t>ADMIN</w:t>
            </w:r>
          </w:p>
        </w:tc>
        <w:tc>
          <w:tcPr>
            <w:tcW w:type="dxa" w:w="3168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00000"/>
                <w:sz w:val="20"/>
              </w:rPr>
              <w:t>ClanRest2026!</w:t>
            </w:r>
          </w:p>
        </w:tc>
      </w:tr>
      <w:tr>
        <w:tc>
          <w:tcPr>
            <w:tcW w:type="dxa" w:w="3168"/>
            <w:shd w:fill="EAF2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00000"/>
                <w:sz w:val="20"/>
              </w:rPr>
              <w:t>coordinador</w:t>
            </w:r>
          </w:p>
        </w:tc>
        <w:tc>
          <w:tcPr>
            <w:tcW w:type="dxa" w:w="3168"/>
            <w:shd w:fill="EAF2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000000"/>
                <w:sz w:val="20"/>
              </w:rPr>
              <w:t>COORDINADOR</w:t>
            </w:r>
          </w:p>
        </w:tc>
        <w:tc>
          <w:tcPr>
            <w:tcW w:type="dxa" w:w="3168"/>
            <w:shd w:fill="EAF2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00000"/>
                <w:sz w:val="20"/>
              </w:rPr>
              <w:t>ClanRest2026!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00000"/>
                <w:sz w:val="20"/>
              </w:rPr>
              <w:t>almacen</w:t>
            </w:r>
          </w:p>
        </w:tc>
        <w:tc>
          <w:tcPr>
            <w:tcW w:type="dxa" w:w="3168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000000"/>
                <w:sz w:val="20"/>
              </w:rPr>
              <w:t>ALMACEN</w:t>
            </w:r>
          </w:p>
        </w:tc>
        <w:tc>
          <w:tcPr>
            <w:tcW w:type="dxa" w:w="3168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00000"/>
                <w:sz w:val="20"/>
              </w:rPr>
              <w:t>ClanRest2026!</w:t>
            </w:r>
          </w:p>
        </w:tc>
      </w:tr>
    </w:tbl>
    <w:p>
      <w:r>
        <w:br w:type="page"/>
      </w:r>
    </w:p>
    <w:p>
      <w:pPr>
        <w:pStyle w:val="Heading1"/>
      </w:pPr>
      <w:r>
        <w:t>Inicio de la exposición</w:t>
      </w:r>
    </w:p>
    <w:p>
      <w:r>
        <w:rPr>
          <w:rFonts w:ascii="Aptos" w:hAnsi="Aptos"/>
          <w:b/>
          <w:color w:val="000000"/>
          <w:sz w:val="22"/>
        </w:rPr>
        <w:t>Frase inicial sugerida</w:t>
      </w:r>
    </w:p>
    <w:p>
      <w:pPr>
        <w:ind w:left="360"/>
      </w:pPr>
      <w:r>
        <w:rPr>
          <w:rFonts w:ascii="Aptos" w:hAnsi="Aptos"/>
          <w:color w:val="000000"/>
          <w:sz w:val="22"/>
        </w:rPr>
        <w:t>Buenos días. Presentaremos ClanRest Gestión, una aplicación web para controlar clientes, cotizaciones, eventos, inventario, pagos y reportes de una empresa de catering.</w:t>
      </w:r>
    </w:p>
    <w:p>
      <w:pPr>
        <w:pStyle w:val="Heading2"/>
      </w:pPr>
      <w:r>
        <w:t>Acceso y gestión de clientes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360"/>
        <w:gridCol w:w="3360"/>
        <w:gridCol w:w="3360"/>
      </w:tblGrid>
      <w:tr>
        <w:tc>
          <w:tcPr>
            <w:tcW w:type="dxa" w:w="2117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Pantalla</w:t>
            </w:r>
          </w:p>
        </w:tc>
        <w:tc>
          <w:tcPr>
            <w:tcW w:type="dxa" w:w="3096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Qué mostrar</w:t>
            </w:r>
          </w:p>
        </w:tc>
        <w:tc>
          <w:tcPr>
            <w:tcW w:type="dxa" w:w="4392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Qué decir</w:t>
            </w:r>
          </w:p>
        </w:tc>
      </w:tr>
      <w:tr>
        <w:tc>
          <w:tcPr>
            <w:tcW w:type="dxa" w:w="2117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Inicio de sesión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Ingresar como admin.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4E5B69"/>
                <w:sz w:val="18"/>
              </w:rPr>
              <w:t>Esta pantalla autentica al usuario. El sistema muestra funciones distintas según su rol.</w:t>
            </w:r>
          </w:p>
        </w:tc>
      </w:tr>
      <w:tr>
        <w:tc>
          <w:tcPr>
            <w:tcW w:type="dxa" w:w="2117"/>
            <w:tcMar>
              <w:top w:w="110" w:type="dxa"/>
              <w:start w:w="130" w:type="dxa"/>
              <w:bottom w:w="110" w:type="dxa"/>
              <w:end w:w="130" w:type="dxa"/>
            </w:tcMar>
            <w:shd w:fill="EAF2F7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Panel principal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shd w:fill="EAF2F7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Indicadores, próximos eventos y pendientes.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shd w:fill="EAF2F7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4E5B69"/>
                <w:sz w:val="18"/>
              </w:rPr>
              <w:t>El panel resume la operación y ayuda a identificar rápidamente qué requiere atención.</w:t>
            </w:r>
          </w:p>
        </w:tc>
      </w:tr>
      <w:tr>
        <w:tc>
          <w:tcPr>
            <w:tcW w:type="dxa" w:w="2117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Clientes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Buscar, listar y abrir un cliente.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4E5B69"/>
                <w:sz w:val="18"/>
              </w:rPr>
              <w:t>Aquí registramos y consultamos clientes. La búsqueda evita revisar la lista completa.</w:t>
            </w:r>
          </w:p>
        </w:tc>
      </w:tr>
      <w:tr>
        <w:tc>
          <w:tcPr>
            <w:tcW w:type="dxa" w:w="2117"/>
            <w:tcMar>
              <w:top w:w="110" w:type="dxa"/>
              <w:start w:w="130" w:type="dxa"/>
              <w:bottom w:w="110" w:type="dxa"/>
              <w:end w:w="130" w:type="dxa"/>
            </w:tcMar>
            <w:shd w:fill="EAF2F7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Ficha de cliente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shd w:fill="EAF2F7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Datos de contacto e historial.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shd w:fill="EAF2F7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4E5B69"/>
                <w:sz w:val="18"/>
              </w:rPr>
              <w:t>La ficha guarda la información del cliente y conserva sus cotizaciones anteriores.</w:t>
            </w:r>
          </w:p>
        </w:tc>
      </w:tr>
    </w:tbl>
    <w:p>
      <w:pPr>
        <w:spacing w:after="0"/>
      </w:pPr>
    </w:p>
    <w:p>
      <w:pPr>
        <w:pStyle w:val="Heading2"/>
      </w:pPr>
      <w:r>
        <w:t>Catálogo y recetas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360"/>
        <w:gridCol w:w="3360"/>
        <w:gridCol w:w="3360"/>
      </w:tblGrid>
      <w:tr>
        <w:tc>
          <w:tcPr>
            <w:tcW w:type="dxa" w:w="2117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Pantalla</w:t>
            </w:r>
          </w:p>
        </w:tc>
        <w:tc>
          <w:tcPr>
            <w:tcW w:type="dxa" w:w="3096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Qué mostrar</w:t>
            </w:r>
          </w:p>
        </w:tc>
        <w:tc>
          <w:tcPr>
            <w:tcW w:type="dxa" w:w="4392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Qué decir</w:t>
            </w:r>
          </w:p>
        </w:tc>
      </w:tr>
      <w:tr>
        <w:tc>
          <w:tcPr>
            <w:tcW w:type="dxa" w:w="2117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Catálogo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Menús, platos, extras e insumos.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4E5B69"/>
                <w:sz w:val="18"/>
              </w:rPr>
              <w:t>El catálogo centraliza los productos que usamos para preparar una propuesta.</w:t>
            </w:r>
          </w:p>
        </w:tc>
      </w:tr>
      <w:tr>
        <w:tc>
          <w:tcPr>
            <w:tcW w:type="dxa" w:w="2117"/>
            <w:tcMar>
              <w:top w:w="110" w:type="dxa"/>
              <w:start w:w="130" w:type="dxa"/>
              <w:bottom w:w="110" w:type="dxa"/>
              <w:end w:w="130" w:type="dxa"/>
            </w:tcMar>
            <w:shd w:fill="EAF2F7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Artículo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shd w:fill="EAF2F7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Tipo, precio y estado.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shd w:fill="EAF2F7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4E5B69"/>
                <w:sz w:val="18"/>
              </w:rPr>
              <w:t>En esta pantalla definimos el artículo y mantenemos su información comercial.</w:t>
            </w:r>
          </w:p>
        </w:tc>
      </w:tr>
      <w:tr>
        <w:tc>
          <w:tcPr>
            <w:tcW w:type="dxa" w:w="2117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Composición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Agregar insumos y cantidades.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4E5B69"/>
                <w:sz w:val="18"/>
              </w:rPr>
              <w:t>La receta relaciona cada plato con sus insumos. Esto permite calcular requerimientos del evento.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Cotizaciones y conversión a evento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360"/>
        <w:gridCol w:w="3360"/>
        <w:gridCol w:w="3360"/>
      </w:tblGrid>
      <w:tr>
        <w:tc>
          <w:tcPr>
            <w:tcW w:type="dxa" w:w="2117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Pantalla</w:t>
            </w:r>
          </w:p>
        </w:tc>
        <w:tc>
          <w:tcPr>
            <w:tcW w:type="dxa" w:w="3096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Qué mostrar</w:t>
            </w:r>
          </w:p>
        </w:tc>
        <w:tc>
          <w:tcPr>
            <w:tcW w:type="dxa" w:w="4392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Qué decir</w:t>
            </w:r>
          </w:p>
        </w:tc>
      </w:tr>
      <w:tr>
        <w:tc>
          <w:tcPr>
            <w:tcW w:type="dxa" w:w="2117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Cotizaciones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Lista y filtro por estado.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4E5B69"/>
                <w:sz w:val="18"/>
              </w:rPr>
              <w:t>Aquí controlamos propuestas en borrador, enviadas, aprobadas o rechazadas.</w:t>
            </w:r>
          </w:p>
        </w:tc>
      </w:tr>
      <w:tr>
        <w:tc>
          <w:tcPr>
            <w:tcW w:type="dxa" w:w="2117"/>
            <w:tcMar>
              <w:top w:w="110" w:type="dxa"/>
              <w:start w:w="130" w:type="dxa"/>
              <w:bottom w:w="110" w:type="dxa"/>
              <w:end w:w="130" w:type="dxa"/>
            </w:tcMar>
            <w:shd w:fill="EAF2F7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Nueva cotización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shd w:fill="EAF2F7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Cliente, fecha, personas, menú y extras.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shd w:fill="EAF2F7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4E5B69"/>
                <w:sz w:val="18"/>
              </w:rPr>
              <w:t>La propuesta reúne los datos del servicio y calcula el total antes de guardarla.</w:t>
            </w:r>
          </w:p>
        </w:tc>
      </w:tr>
      <w:tr>
        <w:tc>
          <w:tcPr>
            <w:tcW w:type="dxa" w:w="2117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Detalle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Conceptos, total y estado.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4E5B69"/>
                <w:sz w:val="18"/>
              </w:rPr>
              <w:t>El detalle muestra la propuesta completa y permite imprimirla o guardarla como PDF.</w:t>
            </w:r>
          </w:p>
        </w:tc>
      </w:tr>
      <w:tr>
        <w:tc>
          <w:tcPr>
            <w:tcW w:type="dxa" w:w="2117"/>
            <w:tcMar>
              <w:top w:w="110" w:type="dxa"/>
              <w:start w:w="130" w:type="dxa"/>
              <w:bottom w:w="110" w:type="dxa"/>
              <w:end w:w="130" w:type="dxa"/>
            </w:tcMar>
            <w:shd w:fill="EAF2F7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Aprobación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shd w:fill="EAF2F7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Botón Aprobar y convertir a evento.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shd w:fill="EAF2F7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4E5B69"/>
                <w:sz w:val="18"/>
              </w:rPr>
              <w:t>Al aprobar la cotización, el sistema crea el evento y mantiene la relación con la propuesta original.</w:t>
            </w:r>
          </w:p>
        </w:tc>
      </w:tr>
    </w:tbl>
    <w:p>
      <w:pPr>
        <w:spacing w:after="0"/>
      </w:pPr>
    </w:p>
    <w:p>
      <w:pPr>
        <w:pStyle w:val="Heading2"/>
      </w:pPr>
      <w:r>
        <w:t>Calendario y operación del evento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360"/>
        <w:gridCol w:w="3360"/>
        <w:gridCol w:w="3360"/>
      </w:tblGrid>
      <w:tr>
        <w:tc>
          <w:tcPr>
            <w:tcW w:type="dxa" w:w="2117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Pantalla</w:t>
            </w:r>
          </w:p>
        </w:tc>
        <w:tc>
          <w:tcPr>
            <w:tcW w:type="dxa" w:w="3096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Qué mostrar</w:t>
            </w:r>
          </w:p>
        </w:tc>
        <w:tc>
          <w:tcPr>
            <w:tcW w:type="dxa" w:w="4392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Qué decir</w:t>
            </w:r>
          </w:p>
        </w:tc>
      </w:tr>
      <w:tr>
        <w:tc>
          <w:tcPr>
            <w:tcW w:type="dxa" w:w="2117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Calendario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Mes, fechas y agenda filtrada.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4E5B69"/>
                <w:sz w:val="18"/>
              </w:rPr>
              <w:t>El calendario muestra los servicios programados y ayuda a evitar cruces de fechas.</w:t>
            </w:r>
          </w:p>
        </w:tc>
      </w:tr>
      <w:tr>
        <w:tc>
          <w:tcPr>
            <w:tcW w:type="dxa" w:w="2117"/>
            <w:tcMar>
              <w:top w:w="110" w:type="dxa"/>
              <w:start w:w="130" w:type="dxa"/>
              <w:bottom w:w="110" w:type="dxa"/>
              <w:end w:w="130" w:type="dxa"/>
            </w:tcMar>
            <w:shd w:fill="EAF2F7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Ficha del evento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shd w:fill="EAF2F7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Lugar, horario, estado y responsable.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shd w:fill="EAF2F7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4E5B69"/>
                <w:sz w:val="18"/>
              </w:rPr>
              <w:t>Esta ficha concentra la información operativa del servicio confirmado.</w:t>
            </w:r>
          </w:p>
        </w:tc>
      </w:tr>
      <w:tr>
        <w:tc>
          <w:tcPr>
            <w:tcW w:type="dxa" w:w="2117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Tareas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Agregar y cambiar estados.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4E5B69"/>
                <w:sz w:val="18"/>
              </w:rPr>
              <w:t>Las tareas permiten controlar actividades pendientes y terminadas antes del evento.</w:t>
            </w:r>
          </w:p>
        </w:tc>
      </w:tr>
      <w:tr>
        <w:tc>
          <w:tcPr>
            <w:tcW w:type="dxa" w:w="2117"/>
            <w:tcMar>
              <w:top w:w="110" w:type="dxa"/>
              <w:start w:w="130" w:type="dxa"/>
              <w:bottom w:w="110" w:type="dxa"/>
              <w:end w:w="130" w:type="dxa"/>
            </w:tcMar>
            <w:shd w:fill="EAF2F7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Requerimientos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shd w:fill="EAF2F7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Insumos calculados desde recetas.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shd w:fill="EAF2F7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4E5B69"/>
                <w:sz w:val="18"/>
              </w:rPr>
              <w:t>El sistema usa la cantidad de personas y las recetas vigentes para estimar los insumos necesarios.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Inventario pagos y alertas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360"/>
        <w:gridCol w:w="3360"/>
        <w:gridCol w:w="3360"/>
      </w:tblGrid>
      <w:tr>
        <w:tc>
          <w:tcPr>
            <w:tcW w:type="dxa" w:w="2117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Pantalla</w:t>
            </w:r>
          </w:p>
        </w:tc>
        <w:tc>
          <w:tcPr>
            <w:tcW w:type="dxa" w:w="3096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Qué mostrar</w:t>
            </w:r>
          </w:p>
        </w:tc>
        <w:tc>
          <w:tcPr>
            <w:tcW w:type="dxa" w:w="4392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Qué decir</w:t>
            </w:r>
          </w:p>
        </w:tc>
      </w:tr>
    </w:tbl>
    <w:p>
      <w:pPr>
        <w:spacing w:before="0" w:after="0" w:line="2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360"/>
        <w:gridCol w:w="3360"/>
        <w:gridCol w:w="3360"/>
      </w:tblGrid>
      <w:tr>
        <w:tc>
          <w:tcPr>
            <w:tcW w:type="dxa" w:w="2117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Inventario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Stock actual de insumos.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4E5B69"/>
                <w:sz w:val="18"/>
              </w:rPr>
              <w:t>Esta sección muestra las existencias disponibles para atender los eventos.</w:t>
            </w:r>
          </w:p>
        </w:tc>
      </w:tr>
      <w:tr>
        <w:tc>
          <w:tcPr>
            <w:tcW w:type="dxa" w:w="2117"/>
            <w:tcMar>
              <w:top w:w="110" w:type="dxa"/>
              <w:start w:w="130" w:type="dxa"/>
              <w:bottom w:w="110" w:type="dxa"/>
              <w:end w:w="130" w:type="dxa"/>
            </w:tcMar>
            <w:shd w:fill="EAF2F7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Movimientos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shd w:fill="EAF2F7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Registrar entrada o salida.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shd w:fill="EAF2F7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4E5B69"/>
                <w:sz w:val="18"/>
              </w:rPr>
              <w:t>Cada movimiento actualiza el stock y deja un historial para la trazabilidad.</w:t>
            </w:r>
          </w:p>
        </w:tc>
      </w:tr>
      <w:tr>
        <w:tc>
          <w:tcPr>
            <w:tcW w:type="dxa" w:w="2117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Pagos y saldos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Cobros, saldo pendiente e historial.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4E5B69"/>
                <w:sz w:val="18"/>
              </w:rPr>
              <w:t>Aquí registramos pagos y comprobamos cuánto falta cobrar por cada evento.</w:t>
            </w:r>
          </w:p>
        </w:tc>
      </w:tr>
      <w:tr>
        <w:tc>
          <w:tcPr>
            <w:tcW w:type="dxa" w:w="2117"/>
            <w:tcMar>
              <w:top w:w="110" w:type="dxa"/>
              <w:start w:w="130" w:type="dxa"/>
              <w:bottom w:w="110" w:type="dxa"/>
              <w:end w:w="130" w:type="dxa"/>
            </w:tcMar>
            <w:shd w:fill="EAF2F7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Anulación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shd w:fill="EAF2F7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Anular un pago como ADMIN.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shd w:fill="EAF2F7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4E5B69"/>
                <w:sz w:val="18"/>
              </w:rPr>
              <w:t>La anulación no borra el registro. Lo conserva marcado para que pueda ser auditado.</w:t>
            </w:r>
          </w:p>
        </w:tc>
      </w:tr>
      <w:tr>
        <w:tc>
          <w:tcPr>
            <w:tcW w:type="dxa" w:w="2117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Alertas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Bajo stock y pendientes operativos.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4E5B69"/>
                <w:sz w:val="18"/>
              </w:rPr>
              <w:t>Las alertas reúnen situaciones que requieren atención antes de afectar un servicio.</w:t>
            </w:r>
          </w:p>
        </w:tc>
      </w:tr>
    </w:tbl>
    <w:p>
      <w:pPr>
        <w:spacing w:after="0"/>
      </w:pPr>
    </w:p>
    <w:p>
      <w:pPr>
        <w:pStyle w:val="Heading2"/>
      </w:pPr>
      <w:r>
        <w:t>Reportes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360"/>
        <w:gridCol w:w="3360"/>
        <w:gridCol w:w="3360"/>
      </w:tblGrid>
      <w:tr>
        <w:tc>
          <w:tcPr>
            <w:tcW w:type="dxa" w:w="2117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Pantalla</w:t>
            </w:r>
          </w:p>
        </w:tc>
        <w:tc>
          <w:tcPr>
            <w:tcW w:type="dxa" w:w="3096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Qué mostrar</w:t>
            </w:r>
          </w:p>
        </w:tc>
        <w:tc>
          <w:tcPr>
            <w:tcW w:type="dxa" w:w="4392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Qué decir</w:t>
            </w:r>
          </w:p>
        </w:tc>
      </w:tr>
      <w:tr>
        <w:tc>
          <w:tcPr>
            <w:tcW w:type="dxa" w:w="2117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Indicadores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Ventas, cobros y saldos.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4E5B69"/>
                <w:sz w:val="18"/>
              </w:rPr>
              <w:t>El reporte resume los resultados del periodo seleccionado.</w:t>
            </w:r>
          </w:p>
        </w:tc>
      </w:tr>
      <w:tr>
        <w:tc>
          <w:tcPr>
            <w:tcW w:type="dxa" w:w="2117"/>
            <w:tcMar>
              <w:top w:w="110" w:type="dxa"/>
              <w:start w:w="130" w:type="dxa"/>
              <w:bottom w:w="110" w:type="dxa"/>
              <w:end w:w="130" w:type="dxa"/>
            </w:tcMar>
            <w:shd w:fill="EAF2F7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Filtros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shd w:fill="EAF2F7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Seleccionar fecha inicial y final.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shd w:fill="EAF2F7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4E5B69"/>
                <w:sz w:val="18"/>
              </w:rPr>
              <w:t>El filtro permite analizar únicamente la información del periodo que necesitamos.</w:t>
            </w:r>
          </w:p>
        </w:tc>
      </w:tr>
      <w:tr>
        <w:tc>
          <w:tcPr>
            <w:tcW w:type="dxa" w:w="2117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Exportación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Descargar CSV y Excel.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4E5B69"/>
                <w:sz w:val="18"/>
              </w:rPr>
              <w:t>La exportación genera un archivo con los eventos del periodo para revisar o entregar la información.</w:t>
            </w:r>
          </w:p>
        </w:tc>
      </w:tr>
      <w:tr>
        <w:tc>
          <w:tcPr>
            <w:tcW w:type="dxa" w:w="2117"/>
            <w:tcMar>
              <w:top w:w="110" w:type="dxa"/>
              <w:start w:w="130" w:type="dxa"/>
              <w:bottom w:w="110" w:type="dxa"/>
              <w:end w:w="130" w:type="dxa"/>
            </w:tcMar>
            <w:shd w:fill="EAF2F7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Impresión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shd w:fill="EAF2F7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Botón Imprimir reporte.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shd w:fill="EAF2F7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4E5B69"/>
                <w:sz w:val="18"/>
              </w:rPr>
              <w:t>También podemos imprimir el reporte o guardarlo como PDF desde el navegador.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Administración seguridad y auditoría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360"/>
        <w:gridCol w:w="3360"/>
        <w:gridCol w:w="3360"/>
      </w:tblGrid>
      <w:tr>
        <w:tc>
          <w:tcPr>
            <w:tcW w:type="dxa" w:w="2117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Pantalla</w:t>
            </w:r>
          </w:p>
        </w:tc>
        <w:tc>
          <w:tcPr>
            <w:tcW w:type="dxa" w:w="3096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Qué mostrar</w:t>
            </w:r>
          </w:p>
        </w:tc>
        <w:tc>
          <w:tcPr>
            <w:tcW w:type="dxa" w:w="4392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Qué decir</w:t>
            </w:r>
          </w:p>
        </w:tc>
      </w:tr>
      <w:tr>
        <w:tc>
          <w:tcPr>
            <w:tcW w:type="dxa" w:w="2117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Usuarios y roles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Crear usuario y asignar rol.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4E5B69"/>
                <w:sz w:val="18"/>
              </w:rPr>
              <w:t>El ADMIN gestiona las cuentas y define qué funciones puede usar cada persona.</w:t>
            </w:r>
          </w:p>
        </w:tc>
      </w:tr>
      <w:tr>
        <w:tc>
          <w:tcPr>
            <w:tcW w:type="dxa" w:w="2117"/>
            <w:tcMar>
              <w:top w:w="110" w:type="dxa"/>
              <w:start w:w="130" w:type="dxa"/>
              <w:bottom w:w="110" w:type="dxa"/>
              <w:end w:w="130" w:type="dxa"/>
            </w:tcMar>
            <w:shd w:fill="EAF2F7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Cuenta de usuario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shd w:fill="EAF2F7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Usuario, nombre, rol y estado.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shd w:fill="EAF2F7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4E5B69"/>
                <w:sz w:val="18"/>
              </w:rPr>
              <w:t>Esta pantalla permite actualizar permisos o desactivar una cuenta sin eliminar su historial.</w:t>
            </w:r>
          </w:p>
        </w:tc>
      </w:tr>
      <w:tr>
        <w:tc>
          <w:tcPr>
            <w:tcW w:type="dxa" w:w="2117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Auditoría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Usuario, acción, entidad y fecha.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4E5B69"/>
                <w:sz w:val="18"/>
              </w:rPr>
              <w:t>La auditoría registra acciones importantes para saber quién realizó cada cambio.</w:t>
            </w:r>
          </w:p>
        </w:tc>
      </w:tr>
      <w:tr>
        <w:tc>
          <w:tcPr>
            <w:tcW w:type="dxa" w:w="2117"/>
            <w:tcMar>
              <w:top w:w="110" w:type="dxa"/>
              <w:start w:w="130" w:type="dxa"/>
              <w:bottom w:w="110" w:type="dxa"/>
              <w:end w:w="130" w:type="dxa"/>
            </w:tcMar>
            <w:shd w:fill="EAF2F7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Cierre de sesión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shd w:fill="EAF2F7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Botón Cerrar sesión.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shd w:fill="EAF2F7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4E5B69"/>
                <w:sz w:val="18"/>
              </w:rPr>
              <w:t>Al finalizar, cerramos la sesión para evitar que otra persona use la cuenta abierta.</w:t>
            </w:r>
          </w:p>
        </w:tc>
      </w:tr>
    </w:tbl>
    <w:p>
      <w:pPr>
        <w:spacing w:after="0"/>
      </w:pPr>
    </w:p>
    <w:p>
      <w:pPr>
        <w:pStyle w:val="Heading2"/>
      </w:pPr>
      <w:r>
        <w:t>Seguridad que puedes mencionar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1"/>
        </w:rPr>
        <w:t>Las contraseñas se almacenan con BCrypt, no como texto visible.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1"/>
        </w:rPr>
        <w:t>Spring Security controla el acceso según los roles ADMIN, COORDINADOR y ALMACEN.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1"/>
        </w:rPr>
        <w:t>Los formularios tienen protección CSRF y validación de datos.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1"/>
        </w:rPr>
        <w:t>Spring Data JPA evita construir consultas SQL con datos concatenados.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1"/>
        </w:rPr>
        <w:t>La auditoría conserva el usuario, la acción y la fecha de operaciones importantes.</w:t>
      </w:r>
    </w:p>
    <w:p>
      <w:pPr>
        <w:pStyle w:val="Heading2"/>
      </w:pPr>
      <w:r>
        <w:t>Recursos Java que puedes mencionar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360"/>
        <w:gridCol w:w="3360"/>
        <w:gridCol w:w="3360"/>
      </w:tblGrid>
      <w:tr>
        <w:tc>
          <w:tcPr>
            <w:tcW w:type="dxa" w:w="2117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Pantalla</w:t>
            </w:r>
          </w:p>
        </w:tc>
        <w:tc>
          <w:tcPr>
            <w:tcW w:type="dxa" w:w="3096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Qué mostrar</w:t>
            </w:r>
          </w:p>
        </w:tc>
        <w:tc>
          <w:tcPr>
            <w:tcW w:type="dxa" w:w="4392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Qué decir</w:t>
            </w:r>
          </w:p>
        </w:tc>
      </w:tr>
      <w:tr>
        <w:tc>
          <w:tcPr>
            <w:tcW w:type="dxa" w:w="2117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Guava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Listas inmutables y validaciones.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4E5B69"/>
                <w:sz w:val="18"/>
              </w:rPr>
              <w:t>Ayuda a controlar las entradas usadas en el reporte.</w:t>
            </w:r>
          </w:p>
        </w:tc>
      </w:tr>
      <w:tr>
        <w:tc>
          <w:tcPr>
            <w:tcW w:type="dxa" w:w="2117"/>
            <w:tcMar>
              <w:top w:w="110" w:type="dxa"/>
              <w:start w:w="130" w:type="dxa"/>
              <w:bottom w:w="110" w:type="dxa"/>
              <w:end w:w="130" w:type="dxa"/>
            </w:tcMar>
            <w:shd w:fill="EAF2F7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Apache POI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shd w:fill="EAF2F7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Generación del archivo XLSX.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shd w:fill="EAF2F7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4E5B69"/>
                <w:sz w:val="18"/>
              </w:rPr>
              <w:t>Crea el reporte Excel con encabezados, formato y filtros.</w:t>
            </w:r>
          </w:p>
        </w:tc>
      </w:tr>
      <w:tr>
        <w:tc>
          <w:tcPr>
            <w:tcW w:type="dxa" w:w="2117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Apache Commons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Normalización de textos.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4E5B69"/>
                <w:sz w:val="18"/>
              </w:rPr>
              <w:t>Evita valores vacíos o inconsistentes durante la exportación.</w:t>
            </w:r>
          </w:p>
        </w:tc>
      </w:tr>
      <w:tr>
        <w:tc>
          <w:tcPr>
            <w:tcW w:type="dxa" w:w="2117"/>
            <w:tcMar>
              <w:top w:w="110" w:type="dxa"/>
              <w:start w:w="130" w:type="dxa"/>
              <w:bottom w:w="110" w:type="dxa"/>
              <w:end w:w="130" w:type="dxa"/>
            </w:tcMar>
            <w:shd w:fill="EAF2F7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Logback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shd w:fill="EAF2F7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Registro de la ejecución.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shd w:fill="EAF2F7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4E5B69"/>
                <w:sz w:val="18"/>
              </w:rPr>
              <w:t>Guarda eventos técnicos sin escribir información sensible en la pantalla.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Código para mostrar si el profesor pregunta</w:t>
      </w:r>
    </w:p>
    <w:p>
      <w:pPr>
        <w:tabs>
          <w:tab w:pos="2376" w:val="left"/>
          <w:tab w:pos="5832" w:val="left"/>
        </w:tabs>
        <w:spacing w:before="40" w:after="100"/>
      </w:pPr>
      <w:r>
        <w:rPr>
          <w:rFonts w:ascii="Aptos" w:hAnsi="Aptos"/>
          <w:b/>
          <w:color w:val="17324D"/>
          <w:sz w:val="20"/>
        </w:rPr>
        <w:t>Pantalla</w:t>
        <w:tab/>
        <w:t>Qué mostrar</w:t>
        <w:tab/>
        <w:t>Qué decir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360"/>
        <w:gridCol w:w="3360"/>
        <w:gridCol w:w="3360"/>
      </w:tblGrid>
      <w:tr>
        <w:tc>
          <w:tcPr>
            <w:tcW w:type="dxa" w:w="2117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pom.xml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Dependencias y plugins.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4E5B69"/>
                <w:sz w:val="18"/>
              </w:rPr>
              <w:t>Aquí se declaran Spring Boot, las cuatro librerías, JaCoCo y Javadoc.</w:t>
            </w:r>
          </w:p>
        </w:tc>
      </w:tr>
      <w:tr>
        <w:tc>
          <w:tcPr>
            <w:tcW w:type="dxa" w:w="2117"/>
            <w:tcMar>
              <w:top w:w="110" w:type="dxa"/>
              <w:start w:w="130" w:type="dxa"/>
              <w:bottom w:w="110" w:type="dxa"/>
              <w:end w:w="130" w:type="dxa"/>
            </w:tcMar>
            <w:shd w:fill="EAF2F7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ExcelReportService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shd w:fill="EAF2F7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Método de generación de Excel.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shd w:fill="EAF2F7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4E5B69"/>
                <w:sz w:val="18"/>
              </w:rPr>
              <w:t>Este servicio aplica Guava, Apache POI, Apache Commons y Logback en una función real.</w:t>
            </w:r>
          </w:p>
        </w:tc>
      </w:tr>
      <w:tr>
        <w:tc>
          <w:tcPr>
            <w:tcW w:type="dxa" w:w="2117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WebController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Ruta reports export xlsx.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4E5B69"/>
                <w:sz w:val="18"/>
              </w:rPr>
              <w:t>El controlador recibe la solicitud, consulta los datos y devuelve el archivo descargable.</w:t>
            </w:r>
          </w:p>
        </w:tc>
      </w:tr>
      <w:tr>
        <w:tc>
          <w:tcPr>
            <w:tcW w:type="dxa" w:w="2117"/>
            <w:tcMar>
              <w:top w:w="110" w:type="dxa"/>
              <w:start w:w="130" w:type="dxa"/>
              <w:bottom w:w="110" w:type="dxa"/>
              <w:end w:w="130" w:type="dxa"/>
            </w:tcMar>
            <w:shd w:fill="EAF2F7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SecurityConfig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shd w:fill="EAF2F7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Reglas por rutas y roles.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shd w:fill="EAF2F7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4E5B69"/>
                <w:sz w:val="18"/>
              </w:rPr>
              <w:t>Esta configuración define quién puede entrar a cada módulo.</w:t>
            </w:r>
          </w:p>
        </w:tc>
      </w:tr>
      <w:tr>
        <w:tc>
          <w:tcPr>
            <w:tcW w:type="dxa" w:w="2117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Repository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Interfaces Spring Data JPA.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4E5B69"/>
                <w:sz w:val="18"/>
              </w:rPr>
              <w:t>Los repositorios implementan el patrón DAO y separan la base de datos de la lógica de negocio.</w:t>
            </w:r>
          </w:p>
        </w:tc>
      </w:tr>
      <w:tr>
        <w:tc>
          <w:tcPr>
            <w:tcW w:type="dxa" w:w="2117"/>
            <w:tcMar>
              <w:top w:w="110" w:type="dxa"/>
              <w:start w:w="130" w:type="dxa"/>
              <w:bottom w:w="110" w:type="dxa"/>
              <w:end w:w="130" w:type="dxa"/>
            </w:tcMar>
            <w:shd w:fill="EAF2F7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Prueba de Excel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shd w:fill="EAF2F7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Archivo ExcelReportServiceTest.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shd w:fill="EAF2F7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4E5B69"/>
                <w:sz w:val="18"/>
              </w:rPr>
              <w:t>Primero escribimos la prueba y luego implementamos el servicio, siguiendo TDD.</w:t>
            </w:r>
          </w:p>
        </w:tc>
      </w:tr>
      <w:tr>
        <w:tc>
          <w:tcPr>
            <w:tcW w:type="dxa" w:w="2117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Prueba integral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Archivo ClanRestIntegrationTest.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4E5B69"/>
                <w:sz w:val="18"/>
              </w:rPr>
              <w:t>Estas pruebas verifican que los módulos principales funcionen juntos.</w:t>
            </w:r>
          </w:p>
        </w:tc>
      </w:tr>
    </w:tbl>
    <w:p>
      <w:pPr>
        <w:spacing w:after="0"/>
      </w:pPr>
    </w:p>
    <w:p>
      <w:pPr>
        <w:pStyle w:val="Heading2"/>
      </w:pPr>
      <w:r>
        <w:t>Resultado de pruebas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1"/>
        </w:rPr>
        <w:t>20 pruebas automatizadas aprobadas.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1"/>
        </w:rPr>
        <w:t>82.8 por ciento de cobertura de instrucciones con JaCoCo.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1"/>
        </w:rPr>
        <w:t>Javadoc generado para consultar la estructura del código.</w:t>
      </w:r>
    </w:p>
    <w:p>
      <w:pPr>
        <w:pStyle w:val="Heading2"/>
      </w:pPr>
      <w:r>
        <w:t>Cierre de la exposición</w:t>
      </w:r>
    </w:p>
    <w:p>
      <w:pPr>
        <w:ind w:left="360"/>
      </w:pPr>
      <w:r>
        <w:rPr>
          <w:rFonts w:ascii="Aptos" w:hAnsi="Aptos"/>
          <w:color w:val="000000"/>
          <w:sz w:val="22"/>
        </w:rPr>
        <w:t>En conclusión, ClanRest integra el ciclo completo del catering, desde el registro del cliente hasta el evento, el pago y los reportes. El proyecto usa arquitectura por capas, seguridad por roles, pruebas automatizadas y recursos Java aplicados en funciones reales.</w:t>
      </w:r>
    </w:p>
    <w:p>
      <w:pPr>
        <w:pStyle w:val="Heading2"/>
      </w:pPr>
      <w:r>
        <w:t>Orden recomendado para la demostración</w:t>
      </w:r>
    </w:p>
    <w:p>
      <w:pPr>
        <w:pStyle w:val="ListNumber"/>
        <w:spacing w:after="60"/>
      </w:pPr>
      <w:r>
        <w:rPr>
          <w:rFonts w:ascii="Aptos" w:hAnsi="Aptos"/>
          <w:color w:val="000000"/>
          <w:sz w:val="21"/>
        </w:rPr>
        <w:t>Iniciar sesión como ADMIN.</w:t>
      </w:r>
    </w:p>
    <w:p>
      <w:pPr>
        <w:pStyle w:val="ListNumber"/>
        <w:spacing w:after="60"/>
      </w:pPr>
      <w:r>
        <w:rPr>
          <w:rFonts w:ascii="Aptos" w:hAnsi="Aptos"/>
          <w:color w:val="000000"/>
          <w:sz w:val="21"/>
        </w:rPr>
        <w:t>Mostrar el panel y abrir un cliente.</w:t>
      </w:r>
    </w:p>
    <w:p>
      <w:pPr>
        <w:pStyle w:val="ListNumber"/>
        <w:spacing w:after="60"/>
      </w:pPr>
      <w:r>
        <w:rPr>
          <w:rFonts w:ascii="Aptos" w:hAnsi="Aptos"/>
          <w:color w:val="000000"/>
          <w:sz w:val="21"/>
        </w:rPr>
        <w:t>Abrir una cotización aprobada y su evento.</w:t>
      </w:r>
    </w:p>
    <w:p>
      <w:pPr>
        <w:pStyle w:val="ListNumber"/>
        <w:spacing w:after="60"/>
      </w:pPr>
      <w:r>
        <w:rPr>
          <w:rFonts w:ascii="Aptos" w:hAnsi="Aptos"/>
          <w:color w:val="000000"/>
          <w:sz w:val="21"/>
        </w:rPr>
        <w:t>Mostrar inventario, pagos y alertas.</w:t>
      </w:r>
    </w:p>
    <w:p>
      <w:pPr>
        <w:pStyle w:val="ListNumber"/>
        <w:spacing w:after="60"/>
      </w:pPr>
      <w:r>
        <w:rPr>
          <w:rFonts w:ascii="Aptos" w:hAnsi="Aptos"/>
          <w:color w:val="000000"/>
          <w:sz w:val="21"/>
        </w:rPr>
        <w:t>Exportar el reporte Excel.</w:t>
      </w:r>
    </w:p>
    <w:p>
      <w:pPr>
        <w:pStyle w:val="ListNumber"/>
        <w:spacing w:after="60"/>
      </w:pPr>
      <w:r>
        <w:rPr>
          <w:rFonts w:ascii="Aptos" w:hAnsi="Aptos"/>
          <w:color w:val="000000"/>
          <w:sz w:val="21"/>
        </w:rPr>
        <w:t>Cerrar con las pruebas y el repositorio GitHub.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4E5B69"/>
        <w:sz w:val="17"/>
      </w:rPr>
      <w:t>ClanRest Gestión  |  Guía de exposición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ejecución y exposición de ClanRest Gestión</dc:title>
  <dc:subject>Guía breve para ejecutar y presentar cada pantalla del proyecto</dc:subject>
  <dc:creator>Equipo ClanRest Gestión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