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E3C72"/>
          <w:sz w:val="36"/>
        </w:rPr>
        <w:t>T.C. AKADEMİK VE BİLİMSEL ARAŞTIRMALAR</w:t>
        <w:br/>
        <w:t>ETİK KURUL OTOMASYON SİSTEMLERİ</w:t>
        <w:br/>
        <w:br/>
      </w:r>
      <w:r>
        <w:rPr>
          <w:b/>
          <w:color w:val="0284C7"/>
          <w:sz w:val="25"/>
        </w:rPr>
        <w:t>Mimari Evrim, Operasyonel Verimlilik, Birlikte Çalışabilirlik, Yapay Zekâ Entegrasyonu</w:t>
        <w:br/>
        <w:t>ve Çok Katmanlı Modüler Otomasyon Yazılımı (ASP.NET Core, PHP, Node.js, Electron)</w:t>
        <w:br/>
        <w:t>Tasarım, Uygulama ve Doğrulama Akademik Raporu</w:t>
      </w:r>
    </w:p>
    <w:p>
      <w:pPr>
        <w:spacing w:before="160" w:after="80"/>
        <w:jc w:val="left"/>
      </w:pPr>
      <w:r>
        <w:rPr>
          <w:rFonts w:ascii="Segoe UI" w:hAnsi="Segoe UI"/>
          <w:b/>
          <w:color w:val="1E3C72"/>
          <w:sz w:val="19"/>
        </w:rPr>
        <w:t>Tablo 1: Akademik Araştırma ve Yazılım Projesi Künye Bilgileri</w:t>
      </w:r>
    </w:p>
    <w:tbl>
      <w:tblPr>
        <w:tblStyle w:val="TableGrid"/>
        <w:tblW w:type="auto" w:w="0"/>
        <w:jc w:val="center"/>
        <w:tblLook w:firstColumn="1" w:firstRow="1" w:lastColumn="0" w:lastRow="0" w:noHBand="0" w:noVBand="1" w:val="04A0"/>
      </w:tblPr>
      <w:tblGrid>
        <w:gridCol w:w="4896"/>
        <w:gridCol w:w="4896"/>
      </w:tblGrid>
      <w:tr>
        <w:tc>
          <w:tcPr>
            <w:tcW w:type="dxa" w:w="2880"/>
            <w:shd w:fill="1E3C72"/>
            <w:tcMar>
              <w:top w:w="100" w:type="dxa"/>
              <w:bottom w:w="100" w:type="dxa"/>
              <w:left w:w="120" w:type="dxa"/>
              <w:right w:w="120" w:type="dxa"/>
            </w:tcMar>
            <w:vAlign w:val="center"/>
          </w:tcPr>
          <w:p>
            <w:pPr>
              <w:jc w:val="left"/>
            </w:pPr>
            <w:r/>
            <w:r>
              <w:rPr>
                <w:rFonts w:ascii="Segoe UI" w:hAnsi="Segoe UI"/>
                <w:b/>
                <w:color w:val="FFFFFF"/>
                <w:sz w:val="18"/>
              </w:rPr>
              <w:t>Künye Parametresi</w:t>
            </w:r>
          </w:p>
        </w:tc>
        <w:tc>
          <w:tcPr>
            <w:tcW w:type="dxa" w:w="6624"/>
            <w:shd w:fill="1E3C72"/>
            <w:tcMar>
              <w:top w:w="100" w:type="dxa"/>
              <w:bottom w:w="100" w:type="dxa"/>
              <w:left w:w="120" w:type="dxa"/>
              <w:right w:w="120" w:type="dxa"/>
            </w:tcMar>
            <w:vAlign w:val="center"/>
          </w:tcPr>
          <w:p>
            <w:pPr>
              <w:jc w:val="left"/>
            </w:pPr>
            <w:r/>
            <w:r>
              <w:rPr>
                <w:rFonts w:ascii="Segoe UI" w:hAnsi="Segoe UI"/>
                <w:b/>
                <w:color w:val="FFFFFF"/>
                <w:sz w:val="18"/>
              </w:rPr>
              <w:t>Akademik ve Teknik Detaylar</w:t>
            </w:r>
          </w:p>
        </w:tc>
      </w:tr>
      <w:tr>
        <w:tc>
          <w:tcPr>
            <w:tcW w:type="dxa" w:w="288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Rapor / Çalışma Başlığı</w:t>
            </w:r>
          </w:p>
        </w:tc>
        <w:tc>
          <w:tcPr>
            <w:tcW w:type="dxa" w:w="662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Etik Kurul Otomasyon Sistemleri: Kapsamlı Literatür Taraması ve Çok Katmanlı Modüler Otomasyon Yazılımı Tasarımı</w:t>
            </w:r>
          </w:p>
        </w:tc>
      </w:tr>
      <w:tr>
        <w:tc>
          <w:tcPr>
            <w:tcW w:type="dxa" w:w="2880"/>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Yazar / Geliştirici</w:t>
            </w:r>
          </w:p>
        </w:tc>
        <w:tc>
          <w:tcPr>
            <w:tcW w:type="dxa" w:w="6624"/>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Mehmet Akif Ürey</w:t>
            </w:r>
          </w:p>
        </w:tc>
      </w:tr>
      <w:tr>
        <w:tc>
          <w:tcPr>
            <w:tcW w:type="dxa" w:w="288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Atıf ve Kaynakça Standardı</w:t>
            </w:r>
          </w:p>
        </w:tc>
        <w:tc>
          <w:tcPr>
            <w:tcW w:type="dxa" w:w="662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Numaralı Akademik Atıf Formatı (</w:t>
            </w:r>
            <w:r>
              <w:rPr>
                <w:rFonts w:ascii="Segoe UI" w:hAnsi="Segoe UI"/>
                <w:b/>
                <w:color w:val="1E3C72"/>
                <w:sz w:val="17"/>
              </w:rPr>
              <w:t>[1]</w:t>
            </w:r>
            <w:r>
              <w:rPr>
                <w:rFonts w:ascii="Segoe UI" w:hAnsi="Segoe UI"/>
                <w:color w:val="1F2937"/>
                <w:sz w:val="17"/>
              </w:rPr>
              <w:t xml:space="preserve"> – </w:t>
            </w:r>
            <w:r>
              <w:rPr>
                <w:rFonts w:ascii="Segoe UI" w:hAnsi="Segoe UI"/>
                <w:b/>
                <w:color w:val="1E3C72"/>
                <w:sz w:val="17"/>
              </w:rPr>
              <w:t>[74]</w:t>
            </w:r>
            <w:r>
              <w:rPr>
                <w:rFonts w:ascii="Segoe UI" w:hAnsi="Segoe UI"/>
                <w:color w:val="1F2937"/>
                <w:sz w:val="17"/>
              </w:rPr>
              <w:t xml:space="preserve"> Uluslararası ve Ulusal Hakemli Literatür)</w:t>
            </w:r>
          </w:p>
        </w:tc>
      </w:tr>
      <w:tr>
        <w:tc>
          <w:tcPr>
            <w:tcW w:type="dxa" w:w="2880"/>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Yazılım Mimarisi (4 Modül)</w:t>
            </w:r>
          </w:p>
        </w:tc>
        <w:tc>
          <w:tcPr>
            <w:tcW w:type="dxa" w:w="6624"/>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1) ASP.NET Core 9 + MSSQL/SQLite (Başvuru &amp; Evrak Modülü)</w:t>
              <w:br/>
              <w:t>2) PHP 8.3 + MySQL/SQLite (Akıllı Otomatik Dosya Atama &amp; Değerlendirme Modülü)</w:t>
              <w:br/>
              <w:t>3) Node.js + MongoDB (Karar, Revizyon &amp; Kriptografik QR Belge Modülü)</w:t>
              <w:br/>
              <w:t>4) Electron Masaüstü Uygulaması (Setup .exe &amp; Portable .exe)</w:t>
            </w:r>
          </w:p>
        </w:tc>
      </w:tr>
      <w:tr>
        <w:tc>
          <w:tcPr>
            <w:tcW w:type="dxa" w:w="288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Resmi Yazılım Deposu</w:t>
            </w:r>
          </w:p>
        </w:tc>
        <w:tc>
          <w:tcPr>
            <w:tcW w:type="dxa" w:w="662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https://github.com/Mehmet-Akiff/EtikKurulOtomasyonu (Sürüm: v1.1.0)</w:t>
            </w:r>
          </w:p>
        </w:tc>
      </w:tr>
      <w:tr>
        <w:tc>
          <w:tcPr>
            <w:tcW w:type="dxa" w:w="2880"/>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Deneysel Doğrulama</w:t>
            </w:r>
          </w:p>
        </w:tc>
        <w:tc>
          <w:tcPr>
            <w:tcW w:type="dxa" w:w="6624"/>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Toplam 19/19 Otomatik Birim ve Uçtan Uca İş Akışı Testi (%100 Başarı Oranı)</w:t>
            </w:r>
          </w:p>
        </w:tc>
      </w:tr>
      <w:tr>
        <w:tc>
          <w:tcPr>
            <w:tcW w:type="dxa" w:w="288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Tarih</w:t>
            </w:r>
          </w:p>
        </w:tc>
        <w:tc>
          <w:tcPr>
            <w:tcW w:type="dxa" w:w="662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21 Ekim 2026</w:t>
            </w:r>
          </w:p>
        </w:tc>
      </w:tr>
    </w:tbl>
    <w:p/>
    <w:p>
      <w:pPr>
        <w:pStyle w:val="Heading2"/>
        <w:spacing w:before="160" w:after="80"/>
      </w:pPr>
      <w:r>
        <w:rPr>
          <w:rFonts w:ascii="Segoe UI" w:hAnsi="Segoe UI"/>
          <w:color w:val="0284C7"/>
          <w:sz w:val="24"/>
        </w:rPr>
        <w:t>ÖZET</w:t>
      </w:r>
    </w:p>
    <w:p>
      <w:pPr>
        <w:spacing w:line="283" w:lineRule="auto" w:after="120"/>
        <w:ind w:firstLine="360"/>
        <w:jc w:val="both"/>
      </w:pPr>
      <w:r>
        <w:rPr>
          <w:rFonts w:ascii="Segoe UI" w:hAnsi="Segoe UI"/>
          <w:color w:val="1F2937"/>
          <w:sz w:val="20"/>
        </w:rPr>
        <w:t xml:space="preserve">Bu çalışmada, bilimsel araştırmaların insan ve hayvan özneler üzerindeki etik, hukuki ve metodolojik uygunluğunu denetleyen Etik Kurul Otomasyon Sistemlerinin (eIRB / REIMS / REMS) tarihsel gelişimi, regülasyon uyumluluğu, operasyonel dönüş süreleri (Turnaround Time - TAT), birlikte çalışabilirlik (sIRB) sorunları, Türkiye'deki mevzuat ekosistemi ve üretken yapay zekâ (RAG tabanlı Chat-IRB) entegrasyonları 74 ulusal ve uluslararası kaynak ışığında incelenmiştir </w:t>
      </w:r>
      <w:r>
        <w:rPr>
          <w:rFonts w:ascii="Segoe UI" w:hAnsi="Segoe UI"/>
          <w:b/>
          <w:color w:val="1E3C72"/>
          <w:sz w:val="20"/>
        </w:rPr>
        <w:t>[1, 2, 6, 9, 10, 19]</w:t>
      </w:r>
      <w:r>
        <w:rPr>
          <w:rFonts w:ascii="Segoe UI" w:hAnsi="Segoe UI"/>
          <w:color w:val="1F2937"/>
          <w:sz w:val="20"/>
        </w:rPr>
        <w:t>. Literatür bulguları doğrultusunda, kağıt tabanlı ve kopuk süreçlerin yarattığı darboğazları ortadan kaldırmak amacıyla dört katmanlı modüler bir Etik Kurul Otomasyonu yazılımı tasarlanmış ve gerçeklenmiştir: (1) ASP.NET Core 9 ve MSSQL tabanlı dijital başvuru ve SHA-256 evrak doğrulama modülü, (2) PHP 8.3 ve MySQL tabanlı uzmanlık eşleşmesi ve iş yükü dengelemeli otomatik raportör atama ve kriter puanlama modülü, (3) Node.js ve MongoDB tabanlı otomatik kurul kararı, revizyon takibi ve 24 haneli kriptografik doğrulama kodlu / QR kodlu resmi karar belgesi üretim modülü ve (4) son kullanıcıların sunucu kurulumuna ihtiyaç duymadan çalıştırabileceği Windows 11 masaüstü uygulaması (.exe). Geliştirilen sistem, 19 bağımsız birim ve entegrasyon testi ile doğrulanmış ve %100 başarı sağlamıştır.</w:t>
      </w:r>
    </w:p>
    <w:p>
      <w:pPr>
        <w:spacing w:after="200"/>
      </w:pPr>
      <w:r>
        <w:rPr>
          <w:b/>
          <w:sz w:val="19"/>
        </w:rPr>
        <w:t xml:space="preserve">Anahtar Kelimeler: </w:t>
      </w:r>
      <w:r>
        <w:rPr>
          <w:i/>
          <w:sz w:val="19"/>
        </w:rPr>
        <w:t>Etik Kurul Otomasyonu, e-IRB, Araştırma Etiği Yönetim Sistemi (REIMS), Otomatik Raportör Atama, Kriptografik Belge Doğrulama, ASP.NET Core, PHP, Node.js, Electron, Yapay Zekâ Karar Destek (Chat-IRB).</w:t>
      </w:r>
    </w:p>
    <w:p>
      <w:r>
        <w:br w:type="page"/>
      </w:r>
    </w:p>
    <w:p>
      <w:pPr>
        <w:pStyle w:val="Heading1"/>
        <w:spacing w:before="240" w:after="80"/>
      </w:pPr>
      <w:r>
        <w:rPr>
          <w:rFonts w:ascii="Segoe UI" w:hAnsi="Segoe UI"/>
          <w:color w:val="1E3C72"/>
          <w:sz w:val="29"/>
        </w:rPr>
        <w:t>1. Etik Kurul Otomasyon Sistemleri: Mimari Evrim, Operasyonel Verimlilik, Birlikte Çalışabilirlik ve Yapay Zekâ Entegrasyonu Üzerine Kapsamlı Literatür Taraması</w:t>
      </w:r>
    </w:p>
    <w:p>
      <w:pPr>
        <w:pStyle w:val="Heading2"/>
        <w:spacing w:before="160" w:after="80"/>
      </w:pPr>
      <w:r>
        <w:rPr>
          <w:rFonts w:ascii="Segoe UI" w:hAnsi="Segoe UI"/>
          <w:color w:val="0284C7"/>
          <w:sz w:val="24"/>
        </w:rPr>
        <w:t>1.1. Kavramsal Çerçeve ve Dijital Dönüşümün Tarihsel Evrimi</w:t>
      </w:r>
    </w:p>
    <w:p>
      <w:pPr>
        <w:spacing w:line="283" w:lineRule="auto" w:after="120"/>
        <w:ind w:firstLine="360"/>
        <w:jc w:val="both"/>
      </w:pPr>
      <w:r>
        <w:rPr>
          <w:rFonts w:ascii="Segoe UI" w:hAnsi="Segoe UI"/>
          <w:color w:val="1F2937"/>
          <w:sz w:val="20"/>
        </w:rPr>
        <w:t xml:space="preserve">Bilimsel araştırmaların insan ve hayvan özneler üzerindeki etik, hukuki ve metodolojik uygunluğunu denetleyen kurumsal yapıların dijitalleşmesi, modern araştırma yönetişiminin en kritik kırılma noktalarından birini oluşturmaktadır </w:t>
      </w:r>
      <w:r>
        <w:rPr>
          <w:rFonts w:ascii="Segoe UI" w:hAnsi="Segoe UI"/>
          <w:b/>
          <w:color w:val="1E3C72"/>
          <w:sz w:val="20"/>
        </w:rPr>
        <w:t>[1]</w:t>
      </w:r>
      <w:r>
        <w:rPr>
          <w:rFonts w:ascii="Segoe UI" w:hAnsi="Segoe UI"/>
          <w:color w:val="1F2937"/>
          <w:sz w:val="20"/>
        </w:rPr>
        <w:t xml:space="preserve">. Uluslararası literatürde Elektronik Kurumsal İnceleme Kurulu (Electronic Institutional Review Board - eIRB veya e-IRB), Araştırma Etiği Bilgi Yönetim Sistemi (Research Ethics Information Management System - REIMS) ve Araştırma Etiği Yönetim Sistemi (Research Ethics Management System - REMS) kavramlarıyla tanımlanan etik kurul otomasyonları; araştırma protokollerinin sunulması, ön incelemeden geçirilmesi, hakem ve kurul üyelerine dağıtılması, revizyon döngülerinin yönetilmesi, onay sonrası izleme süreçlerinin yürütülmesi ve kurumsal arşivlemenin sağlanması amacıyla tasarlanmış uzmanlaşmış yazılım mimarileridir </w:t>
      </w:r>
      <w:r>
        <w:rPr>
          <w:rFonts w:ascii="Segoe UI" w:hAnsi="Segoe UI"/>
          <w:b/>
          <w:color w:val="1E3C72"/>
          <w:sz w:val="20"/>
        </w:rPr>
        <w:t>[1, 4, 5]</w:t>
      </w:r>
      <w:r>
        <w:rPr>
          <w:rFonts w:ascii="Segoe UI" w:hAnsi="Segoe UI"/>
          <w:color w:val="1F2937"/>
          <w:sz w:val="20"/>
        </w:rPr>
        <w:t xml:space="preserve">. Bazı gelişmiş kurumsal örneklerde bu sistemler yalnızca bir evrak kayıt aracı olarak kalmamakta, RHInnO Ethics platformunda olduğu gibi bireysel araştırma etiği kurulları için doğrudan birer uzman karar destek sistemi (expert-decision support system) işlevi üstlenmektedir </w:t>
      </w:r>
      <w:r>
        <w:rPr>
          <w:rFonts w:ascii="Segoe UI" w:hAnsi="Segoe UI"/>
          <w:b/>
          <w:color w:val="1E3C72"/>
          <w:sz w:val="20"/>
        </w:rPr>
        <w:t>[7]</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Geleneksel kağıt tabanlı (paper-based) etik kurul yönetiminden elektronik otomasyonlara geçiş, yalnızca çevresel veya lojistik bir tercih değil, bilimsel üretimin hızını ve kalitesini doğrudan etkileyen yapısal bir zorunluluktur </w:t>
      </w:r>
      <w:r>
        <w:rPr>
          <w:rFonts w:ascii="Segoe UI" w:hAnsi="Segoe UI"/>
          <w:b/>
          <w:color w:val="1E3C72"/>
          <w:sz w:val="20"/>
        </w:rPr>
        <w:t>[6, 8]</w:t>
      </w:r>
      <w:r>
        <w:rPr>
          <w:rFonts w:ascii="Segoe UI" w:hAnsi="Segoe UI"/>
          <w:color w:val="1F2937"/>
          <w:sz w:val="20"/>
        </w:rPr>
        <w:t xml:space="preserve">. Kağıt tabanlı süreçler; uzun değerlendirme ve dönüş süreleri (turnaround time - TAT), araştırmacılar üzerinde biriken yüksek baskı, çoğaltma ve kargo maliyetleri, fiziksel imzaların toplanmasındaki coğrafi engeller, dosyaların fiziksel transfer sırasında kaybolma riski ve kilitli dolaplara dayalı hantal arşivleme mekanizmaları nedeniyle ciddi darboğazlar üretmektedir </w:t>
      </w:r>
      <w:r>
        <w:rPr>
          <w:rFonts w:ascii="Segoe UI" w:hAnsi="Segoe UI"/>
          <w:b/>
          <w:color w:val="1E3C72"/>
          <w:sz w:val="20"/>
        </w:rPr>
        <w:t>[6, 10, 13]</w:t>
      </w:r>
      <w:r>
        <w:rPr>
          <w:rFonts w:ascii="Segoe UI" w:hAnsi="Segoe UI"/>
          <w:color w:val="1F2937"/>
          <w:sz w:val="20"/>
        </w:rPr>
        <w:t xml:space="preserve">. Otomasyon sistemlerinin devreye girmesiyle birlikte bu süreçler kağıtsız (paperless) bir iş akışına taşınmış; araştırmacı eğitimi doğrulaması, çıkar çatışması (Conflict of Interest - COI) ve bağlılık (Conflict of Commitment - COC) beyanları, protokol versiyon kontrolü ve advers olay bildirimleri tekil bir veri tabanı üzerinde bütünleştirilmiştir </w:t>
      </w:r>
      <w:r>
        <w:rPr>
          <w:rFonts w:ascii="Segoe UI" w:hAnsi="Segoe UI"/>
          <w:b/>
          <w:color w:val="1E3C72"/>
          <w:sz w:val="20"/>
        </w:rPr>
        <w:t>[1, 11]</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Literatürdeki ampirik veriler, etik kurul otomasyonlarının küresel ölçekte kurumsal standart haline geldiğini göstermektedir </w:t>
      </w:r>
      <w:r>
        <w:rPr>
          <w:rFonts w:ascii="Segoe UI" w:hAnsi="Segoe UI"/>
          <w:b/>
          <w:color w:val="1E3C72"/>
          <w:sz w:val="20"/>
        </w:rPr>
        <w:t>[1]</w:t>
      </w:r>
      <w:r>
        <w:rPr>
          <w:rFonts w:ascii="Segoe UI" w:hAnsi="Segoe UI"/>
          <w:color w:val="1F2937"/>
          <w:sz w:val="20"/>
        </w:rPr>
        <w:t xml:space="preserve">. İnsan Araştırmalarını Koruma Programları Akreditasyon Derneği (AAHRPP) tarafından akredite edilmiş etik kurulların %91'i toplantı ve inceleme materyallerini dağıtmak için bir e-IRB sistemi kullanmakta, %74'ü çevrimiçi başvuru kabul etmekte ve yine %74'ü protokol değerlendirme süreçlerini tamamen çevrimiçi sistemler üzerinden yürütmektedir </w:t>
      </w:r>
      <w:r>
        <w:rPr>
          <w:rFonts w:ascii="Segoe UI" w:hAnsi="Segoe UI"/>
          <w:b/>
          <w:color w:val="1E3C72"/>
          <w:sz w:val="20"/>
        </w:rPr>
        <w:t>[1]</w:t>
      </w:r>
      <w:r>
        <w:rPr>
          <w:rFonts w:ascii="Segoe UI" w:hAnsi="Segoe UI"/>
          <w:color w:val="1F2937"/>
          <w:sz w:val="20"/>
        </w:rPr>
        <w:t xml:space="preserve">. Ancak bu sistemlerin tarihsel evrimi incelendiğinde, ilk nesil otomasyonların ciddi mimari sınırlılıklar barındırdığı görülmektedir </w:t>
      </w:r>
      <w:r>
        <w:rPr>
          <w:rFonts w:ascii="Segoe UI" w:hAnsi="Segoe UI"/>
          <w:b/>
          <w:color w:val="1E3C72"/>
          <w:sz w:val="20"/>
        </w:rPr>
        <w:t>[12]</w:t>
      </w:r>
      <w:r>
        <w:rPr>
          <w:rFonts w:ascii="Segoe UI" w:hAnsi="Segoe UI"/>
          <w:color w:val="1F2937"/>
          <w:sz w:val="20"/>
        </w:rPr>
        <w:t xml:space="preserve">. Örneğin, erken dönem kurumsal sistemlerden olan ARIA ve CRIMSON, etik kurul ve bağlı denetim birimlerinin verimliliğini artırmış olmakla birlikte; arka uç (back-end) veri tabanlarının ölçeklenebilirlik sorunları ve kurum içi diğer veri kaynaklarıyla bütünleşme eksiklikleri nedeniyle zamanla yetersiz kalmıştır </w:t>
      </w:r>
      <w:r>
        <w:rPr>
          <w:rFonts w:ascii="Segoe UI" w:hAnsi="Segoe UI"/>
          <w:b/>
          <w:color w:val="1E3C72"/>
          <w:sz w:val="20"/>
        </w:rPr>
        <w:t>[12]</w:t>
      </w:r>
      <w:r>
        <w:rPr>
          <w:rFonts w:ascii="Segoe UI" w:hAnsi="Segoe UI"/>
          <w:color w:val="1F2937"/>
          <w:sz w:val="20"/>
        </w:rPr>
        <w:t xml:space="preserve">. Bir klinik araştırmanın yalnızca etik kuruldan değil, aynı zamanda bütçe, sözleşme, radyasyon güvenliği ve biyogüvenlik gibi çoklu idari birimlerden onay alması gerektiği gerçeği; CLARA, Huron eIRB, Kuali Research, INSPIR II ve ZOT IRB gibi uçtan uca bütünleşik klinik araştırma yönetim sistemlerinin doğmasına zemin hazırlamıştır </w:t>
      </w:r>
      <w:r>
        <w:rPr>
          <w:rFonts w:ascii="Segoe UI" w:hAnsi="Segoe UI"/>
          <w:b/>
          <w:color w:val="1E3C72"/>
          <w:sz w:val="20"/>
        </w:rPr>
        <w:t>[11, 12, 14, 15, 16]</w:t>
      </w:r>
      <w:r>
        <w:rPr>
          <w:rFonts w:ascii="Segoe UI" w:hAnsi="Segoe UI"/>
          <w:color w:val="1F2937"/>
          <w:sz w:val="20"/>
        </w:rPr>
        <w:t>.</w:t>
      </w:r>
    </w:p>
    <w:p>
      <w:pPr>
        <w:pStyle w:val="Heading2"/>
        <w:spacing w:before="160" w:after="80"/>
      </w:pPr>
      <w:r>
        <w:rPr>
          <w:rFonts w:ascii="Segoe UI" w:hAnsi="Segoe UI"/>
          <w:color w:val="0284C7"/>
          <w:sz w:val="24"/>
        </w:rPr>
        <w:t>1.2. Sistem Mimarisi, Regülasyon Uyumluluğu ve Temel İş Akışı Modülleri</w:t>
      </w:r>
    </w:p>
    <w:p>
      <w:pPr>
        <w:spacing w:line="283" w:lineRule="auto" w:after="120"/>
        <w:ind w:firstLine="360"/>
        <w:jc w:val="both"/>
      </w:pPr>
      <w:r>
        <w:rPr>
          <w:rFonts w:ascii="Segoe UI" w:hAnsi="Segoe UI"/>
          <w:color w:val="1F2937"/>
          <w:sz w:val="20"/>
        </w:rPr>
        <w:t xml:space="preserve">Modern bir etik kurul otomasyonunun yazılım mimarisi, doğrusal bir belge yükleme portalından ziyade, araştırma risk profiline göre şekillenen dinamik bir kural motoru (rule engine) üzerine inşa edilmektedir </w:t>
      </w:r>
      <w:r>
        <w:rPr>
          <w:rFonts w:ascii="Segoe UI" w:hAnsi="Segoe UI"/>
          <w:b/>
          <w:color w:val="1E3C72"/>
          <w:sz w:val="20"/>
        </w:rPr>
        <w:t>[3]</w:t>
      </w:r>
      <w:r>
        <w:rPr>
          <w:rFonts w:ascii="Segoe UI" w:hAnsi="Segoe UI"/>
          <w:color w:val="1F2937"/>
          <w:sz w:val="20"/>
        </w:rPr>
        <w:t xml:space="preserve">. Kentucky Üniversitesi'nin E-IRB ve Arizona Üniversitesi'nin eDisclosure sistemlerinde görüldüğü üzere, güncel platformlar aşamalı akıllı formlar (progressive smart forms) kullanmaktadır </w:t>
      </w:r>
      <w:r>
        <w:rPr>
          <w:rFonts w:ascii="Segoe UI" w:hAnsi="Segoe UI"/>
          <w:b/>
          <w:color w:val="1E3C72"/>
          <w:sz w:val="20"/>
        </w:rPr>
        <w:t>[3, 11]</w:t>
      </w:r>
      <w:r>
        <w:rPr>
          <w:rFonts w:ascii="Segoe UI" w:hAnsi="Segoe UI"/>
          <w:color w:val="1F2937"/>
          <w:sz w:val="20"/>
        </w:rPr>
        <w:t xml:space="preserve">. Araştırmacının 'Protokol Türü' aşamasında yaptığı seçimler (örneğin; Tıbbi Etik Kurul vs. Tıbbi Olmayan Etik Kurul veya Tam Kurul İncelemesi vs. Hızlandırılmış İnceleme vs. Muafiyet İncelemesi), sistemin arka planda hangi veri alanlarını açıp hangilerini gizleyeceğini ve hangi ek belgeleri zorunlu kılacağını otomatik olarak belirlemektedir </w:t>
      </w:r>
      <w:r>
        <w:rPr>
          <w:rFonts w:ascii="Segoe UI" w:hAnsi="Segoe UI"/>
          <w:b/>
          <w:color w:val="1E3C72"/>
          <w:sz w:val="20"/>
        </w:rPr>
        <w:t>[3]</w:t>
      </w:r>
      <w:r>
        <w:rPr>
          <w:rFonts w:ascii="Segoe UI" w:hAnsi="Segoe UI"/>
          <w:color w:val="1F2937"/>
          <w:sz w:val="20"/>
        </w:rPr>
        <w:t xml:space="preserve">. Bu dinamik dallanma mimarisi, araştırmacının kendi çalışmasıyla ilgisi olmayan bürokratik sorularla karşılaşmasını önleyerek bilişsel yükü azaltmakta ve ilk başvurudaki hata oranlarını düşürmektedir </w:t>
      </w:r>
      <w:r>
        <w:rPr>
          <w:rFonts w:ascii="Segoe UI" w:hAnsi="Segoe UI"/>
          <w:b/>
          <w:color w:val="1E3C72"/>
          <w:sz w:val="20"/>
        </w:rPr>
        <w:t>[3, 23]</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Sistem mimarisinin ikinci temel sütununu, rol tabanlı erişim kontrolü, vekalet yönetimi ve otomatik zamanlayıcılar oluşturmaktadır </w:t>
      </w:r>
      <w:r>
        <w:rPr>
          <w:rFonts w:ascii="Segoe UI" w:hAnsi="Segoe UI"/>
          <w:b/>
          <w:color w:val="1E3C72"/>
          <w:sz w:val="20"/>
        </w:rPr>
        <w:t>[9, 18]</w:t>
      </w:r>
      <w:r>
        <w:rPr>
          <w:rFonts w:ascii="Segoe UI" w:hAnsi="Segoe UI"/>
          <w:color w:val="1F2937"/>
          <w:sz w:val="20"/>
        </w:rPr>
        <w:t xml:space="preserve">. Pensilvanya Üniversitesi (UPenn) eIRB sisteminde uygulanan 'Uzakta Olma Süresi Ekle' (Add Away Period) ve vekil erişimi (proxy access) fonksiyonları, başaraştırmacının (PI) veya kurul üyesinin kurum dışında olduğu dönemlerde tüm sistem görevlerinin belirlenen bir başka kullanıcıya otomatik olarak devredilmesini sağlayarak kurumsal süreçlerin kesintiye uğramasını engellemektedir </w:t>
      </w:r>
      <w:r>
        <w:rPr>
          <w:rFonts w:ascii="Segoe UI" w:hAnsi="Segoe UI"/>
          <w:b/>
          <w:color w:val="1E3C72"/>
          <w:sz w:val="20"/>
        </w:rPr>
        <w:t>[18]</w:t>
      </w:r>
      <w:r>
        <w:rPr>
          <w:rFonts w:ascii="Segoe UI" w:hAnsi="Segoe UI"/>
          <w:color w:val="1F2937"/>
          <w:sz w:val="20"/>
        </w:rPr>
        <w:t xml:space="preserve">. Benzer şekilde, Tayland'daki CUREC elektronik sistemi üzerine yapılan incelemeler, manuel takip ve kilitli dosya dolaplarından oluşan geleneksel yapının; sunucu tabanlı dijital güvenlik, hakem son değerlendirme tarihlerinden 3 gün önce ve sonra otomatik gönderilen hatırlatma e-postaları ve yıllık devam incelemelerinden (continuing review) 30 gün önce tetiklenen otomatik uyarı mekanizmalarıyla ikame edildiğini ortaya koymaktadır </w:t>
      </w:r>
      <w:r>
        <w:rPr>
          <w:rFonts w:ascii="Segoe UI" w:hAnsi="Segoe UI"/>
          <w:b/>
          <w:color w:val="1E3C72"/>
          <w:sz w:val="20"/>
        </w:rPr>
        <w:t>[9]</w:t>
      </w:r>
      <w:r>
        <w:rPr>
          <w:rFonts w:ascii="Segoe UI" w:hAnsi="Segoe UI"/>
          <w:color w:val="1F2937"/>
          <w:sz w:val="20"/>
        </w:rPr>
        <w:t>.</w:t>
      </w:r>
    </w:p>
    <w:p>
      <w:pPr>
        <w:spacing w:before="160" w:after="80"/>
        <w:jc w:val="left"/>
      </w:pPr>
      <w:r>
        <w:rPr>
          <w:rFonts w:ascii="Segoe UI" w:hAnsi="Segoe UI"/>
          <w:b/>
          <w:color w:val="1E3C72"/>
          <w:sz w:val="19"/>
        </w:rPr>
        <w:t>Tablo 2: Uluslararası Etik Kurul İnceleme Kategorileri, Otomasyon İş Akışları ve Dönüş Süresi (TAT) Kıyaslamaları [3, 11, 14–16, 20, 24, 25]</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fill="1E3C72"/>
            <w:tcMar>
              <w:top w:w="100" w:type="dxa"/>
              <w:bottom w:w="100" w:type="dxa"/>
              <w:left w:w="120" w:type="dxa"/>
              <w:right w:w="120" w:type="dxa"/>
            </w:tcMar>
            <w:vAlign w:val="center"/>
          </w:tcPr>
          <w:p>
            <w:pPr>
              <w:jc w:val="left"/>
            </w:pPr>
            <w:r/>
            <w:r>
              <w:rPr>
                <w:rFonts w:ascii="Segoe UI" w:hAnsi="Segoe UI"/>
                <w:b/>
                <w:color w:val="FFFFFF"/>
                <w:sz w:val="18"/>
              </w:rPr>
              <w:t>Süreç / İnceleme Kategorisi</w:t>
            </w:r>
          </w:p>
        </w:tc>
        <w:tc>
          <w:tcPr>
            <w:tcW w:type="dxa" w:w="2448"/>
            <w:shd w:fill="1E3C72"/>
            <w:tcMar>
              <w:top w:w="100" w:type="dxa"/>
              <w:bottom w:w="100" w:type="dxa"/>
              <w:left w:w="120" w:type="dxa"/>
              <w:right w:w="120" w:type="dxa"/>
            </w:tcMar>
            <w:vAlign w:val="center"/>
          </w:tcPr>
          <w:p>
            <w:pPr>
              <w:jc w:val="left"/>
            </w:pPr>
            <w:r/>
            <w:r>
              <w:rPr>
                <w:rFonts w:ascii="Segoe UI" w:hAnsi="Segoe UI"/>
                <w:b/>
                <w:color w:val="FFFFFF"/>
                <w:sz w:val="18"/>
              </w:rPr>
              <w:t>Kapsam ve Hedef Araştırma Profili</w:t>
            </w:r>
          </w:p>
        </w:tc>
        <w:tc>
          <w:tcPr>
            <w:tcW w:type="dxa" w:w="2592"/>
            <w:shd w:fill="1E3C72"/>
            <w:tcMar>
              <w:top w:w="100" w:type="dxa"/>
              <w:bottom w:w="100" w:type="dxa"/>
              <w:left w:w="120" w:type="dxa"/>
              <w:right w:w="120" w:type="dxa"/>
            </w:tcMar>
            <w:vAlign w:val="center"/>
          </w:tcPr>
          <w:p>
            <w:pPr>
              <w:jc w:val="left"/>
            </w:pPr>
            <w:r/>
            <w:r>
              <w:rPr>
                <w:rFonts w:ascii="Segoe UI" w:hAnsi="Segoe UI"/>
                <w:b/>
                <w:color w:val="FFFFFF"/>
                <w:sz w:val="18"/>
              </w:rPr>
              <w:t>Otomasyon İş Akışı ve Karar Mekanizması</w:t>
            </w:r>
          </w:p>
        </w:tc>
        <w:tc>
          <w:tcPr>
            <w:tcW w:type="dxa" w:w="2592"/>
            <w:shd w:fill="1E3C72"/>
            <w:tcMar>
              <w:top w:w="100" w:type="dxa"/>
              <w:bottom w:w="100" w:type="dxa"/>
              <w:left w:w="120" w:type="dxa"/>
              <w:right w:w="120" w:type="dxa"/>
            </w:tcMar>
            <w:vAlign w:val="center"/>
          </w:tcPr>
          <w:p>
            <w:pPr>
              <w:jc w:val="left"/>
            </w:pPr>
            <w:r/>
            <w:r>
              <w:rPr>
                <w:rFonts w:ascii="Segoe UI" w:hAnsi="Segoe UI"/>
                <w:b/>
                <w:color w:val="FFFFFF"/>
                <w:sz w:val="18"/>
              </w:rPr>
              <w:t>Uluslararası Kurumsal Dönüş Süresi (TAT) Kıyaslamaları</w:t>
            </w:r>
          </w:p>
        </w:tc>
      </w:tr>
      <w:tr>
        <w:tc>
          <w:tcPr>
            <w:tcW w:type="dxa" w:w="1872"/>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Muafiyet İncelemesi</w:t>
              <w:br/>
              <w:t>(Exempt Review)</w:t>
            </w:r>
          </w:p>
        </w:tc>
        <w:tc>
          <w:tcPr>
            <w:tcW w:type="dxa" w:w="244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Kamuya açık veriler, kimliksizleştirilmiş mevcut örnekler veya minimal risk barındıran eğitim/davranış araştırmaları </w:t>
            </w:r>
            <w:r>
              <w:rPr>
                <w:rFonts w:ascii="Segoe UI" w:hAnsi="Segoe UI"/>
                <w:b/>
                <w:color w:val="1E3C72"/>
                <w:sz w:val="17"/>
              </w:rPr>
              <w:t>[20]</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Akıllı form üzerinden otomatik kategori doğrulaması; kurul başkanı veya atanmış tekil uzman onayı; onay sonrası küçük değişikliklerde yeniden başvuru muafiyeti </w:t>
            </w:r>
            <w:r>
              <w:rPr>
                <w:rFonts w:ascii="Segoe UI" w:hAnsi="Segoe UI"/>
                <w:b/>
                <w:color w:val="1E3C72"/>
                <w:sz w:val="17"/>
              </w:rPr>
              <w:t>[11]</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 KDCA (Kore): 2–3 gün </w:t>
            </w:r>
            <w:r>
              <w:rPr>
                <w:rFonts w:ascii="Segoe UI" w:hAnsi="Segoe UI"/>
                <w:b/>
                <w:color w:val="1E3C72"/>
                <w:sz w:val="17"/>
              </w:rPr>
              <w:t>[20]</w:t>
            </w:r>
            <w:r>
              <w:rPr>
                <w:rFonts w:ascii="Segoe UI" w:hAnsi="Segoe UI"/>
                <w:color w:val="1F2937"/>
                <w:sz w:val="17"/>
              </w:rPr>
              <w:br/>
              <w:t xml:space="preserve">• Boston Üniv. (INSPIR II): 9 gün (75. yüzdelik) </w:t>
            </w:r>
            <w:r>
              <w:rPr>
                <w:rFonts w:ascii="Segoe UI" w:hAnsi="Segoe UI"/>
                <w:b/>
                <w:color w:val="1E3C72"/>
                <w:sz w:val="17"/>
              </w:rPr>
              <w:t>[16]</w:t>
            </w:r>
            <w:r>
              <w:rPr>
                <w:rFonts w:ascii="Segoe UI" w:hAnsi="Segoe UI"/>
                <w:color w:val="1F2937"/>
                <w:sz w:val="17"/>
              </w:rPr>
              <w:br/>
              <w:t xml:space="preserve">• Rutgers Üniv.: 11 gün (medyan) </w:t>
            </w:r>
            <w:r>
              <w:rPr>
                <w:rFonts w:ascii="Segoe UI" w:hAnsi="Segoe UI"/>
                <w:b/>
                <w:color w:val="1E3C72"/>
                <w:sz w:val="17"/>
              </w:rPr>
              <w:t>[15]</w:t>
            </w:r>
            <w:r>
              <w:rPr>
                <w:rFonts w:ascii="Segoe UI" w:hAnsi="Segoe UI"/>
                <w:color w:val="1F2937"/>
                <w:sz w:val="17"/>
              </w:rPr>
              <w:br/>
              <w:t xml:space="preserve">• Kentucky Üniv.: 4–6 hafta </w:t>
            </w:r>
            <w:r>
              <w:rPr>
                <w:rFonts w:ascii="Segoe UI" w:hAnsi="Segoe UI"/>
                <w:b/>
                <w:color w:val="1E3C72"/>
                <w:sz w:val="17"/>
              </w:rPr>
              <w:t>[3]</w:t>
            </w:r>
          </w:p>
        </w:tc>
      </w:tr>
      <w:tr>
        <w:tc>
          <w:tcPr>
            <w:tcW w:type="dxa" w:w="1872"/>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Hızlandırılmış İnceleme</w:t>
              <w:br/>
              <w:t>(Expedited Review)</w:t>
            </w:r>
          </w:p>
        </w:tc>
        <w:tc>
          <w:tcPr>
            <w:tcW w:type="dxa" w:w="2448"/>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Minimal riskli prospektif biyolojik örnek alımı (belirli hacim/sıklık sınırları dahilinde kan, tükürük vb.), onaylı ilaç/cihazların etiket içi kullanımı, küçük protokol değişiklikleri </w:t>
            </w:r>
            <w:r>
              <w:rPr>
                <w:rFonts w:ascii="Segoe UI" w:hAnsi="Segoe UI"/>
                <w:b/>
                <w:color w:val="1E3C72"/>
                <w:sz w:val="17"/>
              </w:rPr>
              <w:t>[20, 21]</w:t>
            </w:r>
            <w:r>
              <w:rPr>
                <w:rFonts w:ascii="Segoe UI" w:hAnsi="Segoe UI"/>
                <w:color w:val="1F2937"/>
                <w:sz w:val="17"/>
              </w:rPr>
              <w:t>.</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Sürekli (rolling) başvuru kabulü; kurul başkanı veya alt komite üyelerine otomatik atama; revizyonlarda hakeme 10 iş günü inceleme süresi tanımlanması </w:t>
            </w:r>
            <w:r>
              <w:rPr>
                <w:rFonts w:ascii="Segoe UI" w:hAnsi="Segoe UI"/>
                <w:b/>
                <w:color w:val="1E3C72"/>
                <w:sz w:val="17"/>
              </w:rPr>
              <w:t>[14]</w:t>
            </w:r>
            <w:r>
              <w:rPr>
                <w:rFonts w:ascii="Segoe UI" w:hAnsi="Segoe UI"/>
                <w:color w:val="1F2937"/>
                <w:sz w:val="17"/>
              </w:rPr>
              <w:t>.</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 KDCA (Kore): 2–3 gün </w:t>
            </w:r>
            <w:r>
              <w:rPr>
                <w:rFonts w:ascii="Segoe UI" w:hAnsi="Segoe UI"/>
                <w:b/>
                <w:color w:val="1E3C72"/>
                <w:sz w:val="17"/>
              </w:rPr>
              <w:t>[20]</w:t>
            </w:r>
            <w:r>
              <w:rPr>
                <w:rFonts w:ascii="Segoe UI" w:hAnsi="Segoe UI"/>
                <w:color w:val="1F2937"/>
                <w:sz w:val="17"/>
              </w:rPr>
              <w:br/>
              <w:t xml:space="preserve">• Boston Üniv. (INSPIR II): 7 gün (75. yüzdelik) </w:t>
            </w:r>
            <w:r>
              <w:rPr>
                <w:rFonts w:ascii="Segoe UI" w:hAnsi="Segoe UI"/>
                <w:b/>
                <w:color w:val="1E3C72"/>
                <w:sz w:val="17"/>
              </w:rPr>
              <w:t>[16]</w:t>
            </w:r>
            <w:r>
              <w:rPr>
                <w:rFonts w:ascii="Segoe UI" w:hAnsi="Segoe UI"/>
                <w:color w:val="1F2937"/>
                <w:sz w:val="17"/>
              </w:rPr>
              <w:br/>
              <w:t xml:space="preserve">• Optimize e-IRB Genel: &lt; 2 hafta </w:t>
            </w:r>
            <w:r>
              <w:rPr>
                <w:rFonts w:ascii="Segoe UI" w:hAnsi="Segoe UI"/>
                <w:b/>
                <w:color w:val="1E3C72"/>
                <w:sz w:val="17"/>
              </w:rPr>
              <w:t>[24]</w:t>
            </w:r>
            <w:r>
              <w:rPr>
                <w:rFonts w:ascii="Segoe UI" w:hAnsi="Segoe UI"/>
                <w:color w:val="1F2937"/>
                <w:sz w:val="17"/>
              </w:rPr>
              <w:br/>
              <w:t xml:space="preserve">• Kentucky Üniv.: 4–6 hafta </w:t>
            </w:r>
            <w:r>
              <w:rPr>
                <w:rFonts w:ascii="Segoe UI" w:hAnsi="Segoe UI"/>
                <w:b/>
                <w:color w:val="1E3C72"/>
                <w:sz w:val="17"/>
              </w:rPr>
              <w:t>[3]</w:t>
            </w:r>
          </w:p>
        </w:tc>
      </w:tr>
      <w:tr>
        <w:tc>
          <w:tcPr>
            <w:tcW w:type="dxa" w:w="1872"/>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Tam Kurul İncelemesi</w:t>
              <w:br/>
              <w:t>(Full / Regular Board)</w:t>
            </w:r>
          </w:p>
        </w:tc>
        <w:tc>
          <w:tcPr>
            <w:tcW w:type="dxa" w:w="244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Minimal riskin üzerindeki girişimsel araştırmalar, hassas/kırılgan popülasyonları içeren çalışmalar, yeni ilaç (IND) veya tıbbi cihaz (IDE) araştırmaları </w:t>
            </w:r>
            <w:r>
              <w:rPr>
                <w:rFonts w:ascii="Segoe UI" w:hAnsi="Segoe UI"/>
                <w:b/>
                <w:color w:val="1E3C72"/>
                <w:sz w:val="17"/>
              </w:rPr>
              <w:t>[14]</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Toplantı tarihinden ~10 gün önce gündemin sistemde kapatılması; tüm üyelere dijital dağıtım; çoğunluk nisabı (quorum) ve kurum dışı üye katılımıyla oylama </w:t>
            </w:r>
            <w:r>
              <w:rPr>
                <w:rFonts w:ascii="Segoe UI" w:hAnsi="Segoe UI"/>
                <w:b/>
                <w:color w:val="1E3C72"/>
                <w:sz w:val="17"/>
              </w:rPr>
              <w:t>[3]</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 Boston Üniv. (INSPIR II): 17 gün (75. yüzdelik) </w:t>
            </w:r>
            <w:r>
              <w:rPr>
                <w:rFonts w:ascii="Segoe UI" w:hAnsi="Segoe UI"/>
                <w:b/>
                <w:color w:val="1E3C72"/>
                <w:sz w:val="17"/>
              </w:rPr>
              <w:t>[16]</w:t>
            </w:r>
            <w:r>
              <w:rPr>
                <w:rFonts w:ascii="Segoe UI" w:hAnsi="Segoe UI"/>
                <w:color w:val="1F2937"/>
                <w:sz w:val="17"/>
              </w:rPr>
              <w:br/>
              <w:t xml:space="preserve">• MCW Gerçek Zamanlı e-IRB: 18,76–27,8 gün </w:t>
            </w:r>
            <w:r>
              <w:rPr>
                <w:rFonts w:ascii="Segoe UI" w:hAnsi="Segoe UI"/>
                <w:b/>
                <w:color w:val="1E3C72"/>
                <w:sz w:val="17"/>
              </w:rPr>
              <w:t>[25]</w:t>
            </w:r>
            <w:r>
              <w:rPr>
                <w:rFonts w:ascii="Segoe UI" w:hAnsi="Segoe UI"/>
                <w:color w:val="1F2937"/>
                <w:sz w:val="17"/>
              </w:rPr>
              <w:br/>
              <w:t xml:space="preserve">• KDCA (Kore): &lt; 60 gün (ayda bir döngü) </w:t>
            </w:r>
            <w:r>
              <w:rPr>
                <w:rFonts w:ascii="Segoe UI" w:hAnsi="Segoe UI"/>
                <w:b/>
                <w:color w:val="1E3C72"/>
                <w:sz w:val="17"/>
              </w:rPr>
              <w:t>[20]</w:t>
            </w:r>
            <w:r>
              <w:rPr>
                <w:rFonts w:ascii="Segoe UI" w:hAnsi="Segoe UI"/>
                <w:color w:val="1F2937"/>
                <w:sz w:val="17"/>
              </w:rPr>
              <w:br/>
              <w:t xml:space="preserve">• MCW Standart e-IRB: 63 gün (ortalama) </w:t>
            </w:r>
            <w:r>
              <w:rPr>
                <w:rFonts w:ascii="Segoe UI" w:hAnsi="Segoe UI"/>
                <w:b/>
                <w:color w:val="1E3C72"/>
                <w:sz w:val="17"/>
              </w:rPr>
              <w:t>[25]</w:t>
            </w:r>
          </w:p>
        </w:tc>
      </w:tr>
      <w:tr>
        <w:tc>
          <w:tcPr>
            <w:tcW w:type="dxa" w:w="1872"/>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Devam İncelemesi</w:t>
              <w:br/>
              <w:t>(Continuing Review / CR)</w:t>
            </w:r>
          </w:p>
        </w:tc>
        <w:tc>
          <w:tcPr>
            <w:tcW w:type="dxa" w:w="2448"/>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Minimal riskin üzerindeki veya FDA/DOJ denetimine tabi devam eden araştırmaların en az yılda bir kez periyodik denetimi </w:t>
            </w:r>
            <w:r>
              <w:rPr>
                <w:rFonts w:ascii="Segoe UI" w:hAnsi="Segoe UI"/>
                <w:b/>
                <w:color w:val="1E3C72"/>
                <w:sz w:val="17"/>
              </w:rPr>
              <w:t>[3]</w:t>
            </w:r>
            <w:r>
              <w:rPr>
                <w:rFonts w:ascii="Segoe UI" w:hAnsi="Segoe UI"/>
                <w:color w:val="1F2937"/>
                <w:sz w:val="17"/>
              </w:rPr>
              <w:t>.</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Süre bitiminden 30 gün önce otomatik bildirim; CR onaylanmadan sistemin yeni değişiklik (modification) başvurularını kilitlemesi; düşük riskli çalışmalarda 15 dakikalık kısaltılmış idari form </w:t>
            </w:r>
            <w:r>
              <w:rPr>
                <w:rFonts w:ascii="Segoe UI" w:hAnsi="Segoe UI"/>
                <w:b/>
                <w:color w:val="1E3C72"/>
                <w:sz w:val="17"/>
              </w:rPr>
              <w:t>[3]</w:t>
            </w:r>
            <w:r>
              <w:rPr>
                <w:rFonts w:ascii="Segoe UI" w:hAnsi="Segoe UI"/>
                <w:color w:val="1F2937"/>
                <w:sz w:val="17"/>
              </w:rPr>
              <w:t>.</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 UC Irvine (ZOT IRB): 3–4 hafta (sürekli/rolling bazda) </w:t>
            </w:r>
            <w:r>
              <w:rPr>
                <w:rFonts w:ascii="Segoe UI" w:hAnsi="Segoe UI"/>
                <w:b/>
                <w:color w:val="1E3C72"/>
                <w:sz w:val="17"/>
              </w:rPr>
              <w:t>[14]</w:t>
            </w:r>
            <w:r>
              <w:rPr>
                <w:rFonts w:ascii="Segoe UI" w:hAnsi="Segoe UI"/>
                <w:color w:val="1F2937"/>
                <w:sz w:val="17"/>
              </w:rPr>
              <w:br/>
              <w:t xml:space="preserve">• Süre aşımında protokolün sistem tarafından otomatik askıya alınması </w:t>
            </w:r>
            <w:r>
              <w:rPr>
                <w:rFonts w:ascii="Segoe UI" w:hAnsi="Segoe UI"/>
                <w:b/>
                <w:color w:val="1E3C72"/>
                <w:sz w:val="17"/>
              </w:rPr>
              <w:t>[3]</w:t>
            </w:r>
          </w:p>
        </w:tc>
      </w:tr>
      <w:tr>
        <w:tc>
          <w:tcPr>
            <w:tcW w:type="dxa" w:w="1872"/>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Advers Olay ve Sapma Bildirimi</w:t>
              <w:br/>
              <w:t>(UP / RNI / AE)</w:t>
            </w:r>
          </w:p>
        </w:tc>
        <w:tc>
          <w:tcPr>
            <w:tcW w:type="dxa" w:w="244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Beklenmeyen sorunlar (Unanticipated Problems), ciddi advers reaksiyonlar (SUSAR/UADE) ve acil protokol sapmaları </w:t>
            </w:r>
            <w:r>
              <w:rPr>
                <w:rFonts w:ascii="Segoe UI" w:hAnsi="Segoe UI"/>
                <w:b/>
                <w:color w:val="1E3C72"/>
                <w:sz w:val="17"/>
              </w:rPr>
              <w:t>[3]</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ZOT IRB gibi sistemlerde RNI (Reportable New Information) modülü üzerinden acil bildirim; kurul başkanı/başkan yardımcısı tarafından anlık triyaj değerlendirmesi </w:t>
            </w:r>
            <w:r>
              <w:rPr>
                <w:rFonts w:ascii="Segoe UI" w:hAnsi="Segoe UI"/>
                <w:b/>
                <w:color w:val="1E3C72"/>
                <w:sz w:val="17"/>
              </w:rPr>
              <w:t>[14]</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 Acil prospektif sapma: 96 saat içinde bildirim </w:t>
            </w:r>
            <w:r>
              <w:rPr>
                <w:rFonts w:ascii="Segoe UI" w:hAnsi="Segoe UI"/>
                <w:b/>
                <w:color w:val="1E3C72"/>
                <w:sz w:val="17"/>
              </w:rPr>
              <w:t>[14]</w:t>
            </w:r>
            <w:r>
              <w:rPr>
                <w:rFonts w:ascii="Segoe UI" w:hAnsi="Segoe UI"/>
                <w:color w:val="1F2937"/>
                <w:sz w:val="17"/>
              </w:rPr>
              <w:br/>
              <w:t xml:space="preserve">• UP bildirimi: 5 iş günü içinde </w:t>
            </w:r>
            <w:r>
              <w:rPr>
                <w:rFonts w:ascii="Segoe UI" w:hAnsi="Segoe UI"/>
                <w:b/>
                <w:color w:val="1E3C72"/>
                <w:sz w:val="17"/>
              </w:rPr>
              <w:t>[14]</w:t>
            </w:r>
            <w:r>
              <w:rPr>
                <w:rFonts w:ascii="Segoe UI" w:hAnsi="Segoe UI"/>
                <w:color w:val="1F2937"/>
                <w:sz w:val="17"/>
              </w:rPr>
              <w:br/>
              <w:t xml:space="preserve">• Sponsor UADE raporu: 10 iş günü içinde </w:t>
            </w:r>
            <w:r>
              <w:rPr>
                <w:rFonts w:ascii="Segoe UI" w:hAnsi="Segoe UI"/>
                <w:b/>
                <w:color w:val="1E3C72"/>
                <w:sz w:val="17"/>
              </w:rPr>
              <w:t>[14]</w:t>
            </w:r>
          </w:p>
        </w:tc>
      </w:tr>
    </w:tbl>
    <w:p/>
    <w:p>
      <w:pPr>
        <w:spacing w:line="283" w:lineRule="auto" w:after="120"/>
        <w:ind w:firstLine="360"/>
        <w:jc w:val="both"/>
      </w:pPr>
      <w:r>
        <w:rPr>
          <w:rFonts w:ascii="Segoe UI" w:hAnsi="Segoe UI"/>
          <w:color w:val="1F2937"/>
          <w:sz w:val="20"/>
        </w:rPr>
        <w:t xml:space="preserve">Tablo 2'de özetlenen iş akışlarının hukuki geçerliliği, otomasyon sistemlerinin ulusal ve uluslararası regülasyon standartlarına tam uyum sağlamasına bağlıdır </w:t>
      </w:r>
      <w:r>
        <w:rPr>
          <w:rFonts w:ascii="Segoe UI" w:hAnsi="Segoe UI"/>
          <w:b/>
          <w:color w:val="1E3C72"/>
          <w:sz w:val="20"/>
        </w:rPr>
        <w:t>[20]</w:t>
      </w:r>
      <w:r>
        <w:rPr>
          <w:rFonts w:ascii="Segoe UI" w:hAnsi="Segoe UI"/>
          <w:color w:val="1F2937"/>
          <w:sz w:val="20"/>
        </w:rPr>
        <w:t xml:space="preserve">. Elektronik kayıtların ve elektronik imzaların güvenilirliğini düzenleyen ABD Gıda ve İlaç Dairesi'nin 21 CFR Part 11 standardı, Sağlık Sigortası Taşınabilirlik ve Sorumluluk Yasası (HIPAA) gizlilik kuralları, Ortak Kural (Common Rule - 45 CFR 46) ve yazılım kalitesini ölçen ISO/IEC 25010 standartları, e-IRB mimarilerinin temel referans noktalarıdır </w:t>
      </w:r>
      <w:r>
        <w:rPr>
          <w:rFonts w:ascii="Segoe UI" w:hAnsi="Segoe UI"/>
          <w:b/>
          <w:color w:val="1E3C72"/>
          <w:sz w:val="20"/>
        </w:rPr>
        <w:t>[17, 29, 30]</w:t>
      </w:r>
      <w:r>
        <w:rPr>
          <w:rFonts w:ascii="Segoe UI" w:hAnsi="Segoe UI"/>
          <w:color w:val="1F2937"/>
          <w:sz w:val="20"/>
        </w:rPr>
        <w:t xml:space="preserve">. Özellikle denetim izi (audit trail) mekanizması kapsamında, her bir elektronik etik kurul kaydının beş temel bileşenle (protokol versiyonu, üye görüşleri, oylama kayıtları, onaylı onam formları ve yazışmalar) değiştirilemez biçimde ilişkilendirilmesi ve resmi saklama sürelerinin (retention period) çalışma kapanış raporunun sisteme yüklendiği tarihten itibaren otomatik olarak başlatılması zorunludur </w:t>
      </w:r>
      <w:r>
        <w:rPr>
          <w:rFonts w:ascii="Segoe UI" w:hAnsi="Segoe UI"/>
          <w:b/>
          <w:color w:val="1E3C72"/>
          <w:sz w:val="20"/>
        </w:rPr>
        <w:t>[14]</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Ayrıca sistemler arası veri akışı açısından, e-IRB yazılımlarının kurum içindeki Klinik Araştırma Yönetim Sistemleri (CTMS), iş zekâsı/raporlama araçları ve elektronik sağlık kaydı (EHR) sorgulama platformlarıyla entegre çalışabilmesi kritik bir tasarım kriteridir </w:t>
      </w:r>
      <w:r>
        <w:rPr>
          <w:rFonts w:ascii="Segoe UI" w:hAnsi="Segoe UI"/>
          <w:b/>
          <w:color w:val="1E3C72"/>
          <w:sz w:val="20"/>
        </w:rPr>
        <w:t>[26]</w:t>
      </w:r>
      <w:r>
        <w:rPr>
          <w:rFonts w:ascii="Segoe UI" w:hAnsi="Segoe UI"/>
          <w:color w:val="1F2937"/>
          <w:sz w:val="20"/>
        </w:rPr>
        <w:t xml:space="preserve">. Kentucky Üniversitesi ve UC Irvine örneklerinde görüldüğü üzere, otomasyon sistemleri yalnızca onay öncesi süreci değil, onay sonrası (post-approval) yaşam döngüsünü de katı algoritmik kurallarla denetlemektedir </w:t>
      </w:r>
      <w:r>
        <w:rPr>
          <w:rFonts w:ascii="Segoe UI" w:hAnsi="Segoe UI"/>
          <w:b/>
          <w:color w:val="1E3C72"/>
          <w:sz w:val="20"/>
        </w:rPr>
        <w:t>[3, 14]</w:t>
      </w:r>
      <w:r>
        <w:rPr>
          <w:rFonts w:ascii="Segoe UI" w:hAnsi="Segoe UI"/>
          <w:color w:val="1F2937"/>
          <w:sz w:val="20"/>
        </w:rPr>
        <w:t xml:space="preserve">. Örneğin, bir devam incelemesi (CR) sistemde onay beklerken araştırmacının aynı protokol üzerinde değişiklik talebi (modification request) göndermesi sistem tarafından otomatik olarak engellenmekte; benzer şekilde, 3 yıl veya daha uzun süre açık kaldığı halde hiçbir katılımcı kaydetmeyen veya veri toplamayan çalışmalar sistem tarafından tespit edilerek kapanış prosedürlerine (Study Closure SOP) yönlendirilmektedir </w:t>
      </w:r>
      <w:r>
        <w:rPr>
          <w:rFonts w:ascii="Segoe UI" w:hAnsi="Segoe UI"/>
          <w:b/>
          <w:color w:val="1E3C72"/>
          <w:sz w:val="20"/>
        </w:rPr>
        <w:t>[3]</w:t>
      </w:r>
      <w:r>
        <w:rPr>
          <w:rFonts w:ascii="Segoe UI" w:hAnsi="Segoe UI"/>
          <w:color w:val="1F2937"/>
          <w:sz w:val="20"/>
        </w:rPr>
        <w:t>.</w:t>
      </w:r>
    </w:p>
    <w:p>
      <w:pPr>
        <w:pStyle w:val="Heading2"/>
        <w:spacing w:before="160" w:after="80"/>
      </w:pPr>
      <w:r>
        <w:rPr>
          <w:rFonts w:ascii="Segoe UI" w:hAnsi="Segoe UI"/>
          <w:color w:val="0284C7"/>
          <w:sz w:val="24"/>
        </w:rPr>
        <w:t>1.3. Operasyonel Verimlilik, İşlem Süreleri (Turnaround Time) ve Süreç İyileştirme Dinamikleri</w:t>
      </w:r>
    </w:p>
    <w:p>
      <w:pPr>
        <w:spacing w:line="283" w:lineRule="auto" w:after="120"/>
        <w:ind w:firstLine="360"/>
        <w:jc w:val="both"/>
      </w:pPr>
      <w:r>
        <w:rPr>
          <w:rFonts w:ascii="Segoe UI" w:hAnsi="Segoe UI"/>
          <w:color w:val="1F2937"/>
          <w:sz w:val="20"/>
        </w:rPr>
        <w:t xml:space="preserve">Literatürde etik kurul otomasyonlarının performansını değerlendirmek için kullanılan en temel nicel gösterge, başvurunun yapılmasından nihai kurul kararının (veya ilk inceleme görüşünün) araştırmacıya iletilmesine kadar geçen dönüş süresidir (Turnaround Time - TAT) </w:t>
      </w:r>
      <w:r>
        <w:rPr>
          <w:rFonts w:ascii="Segoe UI" w:hAnsi="Segoe UI"/>
          <w:b/>
          <w:color w:val="1E3C72"/>
          <w:sz w:val="20"/>
        </w:rPr>
        <w:t>[9]</w:t>
      </w:r>
      <w:r>
        <w:rPr>
          <w:rFonts w:ascii="Segoe UI" w:hAnsi="Segoe UI"/>
          <w:color w:val="1F2937"/>
          <w:sz w:val="20"/>
        </w:rPr>
        <w:t xml:space="preserve">. Kağıt tabanlı veya standartlaştırılmamış yerel süreçlerde bu sürelerin öngörülemez boyutlara ulaştığı belgelenmiştir </w:t>
      </w:r>
      <w:r>
        <w:rPr>
          <w:rFonts w:ascii="Segoe UI" w:hAnsi="Segoe UI"/>
          <w:b/>
          <w:color w:val="1E3C72"/>
          <w:sz w:val="20"/>
        </w:rPr>
        <w:t>[17]</w:t>
      </w:r>
      <w:r>
        <w:rPr>
          <w:rFonts w:ascii="Segoe UI" w:hAnsi="Segoe UI"/>
          <w:color w:val="1F2937"/>
          <w:sz w:val="20"/>
        </w:rPr>
        <w:t xml:space="preserve">. Örneğin, ABD hükümeti regülasyonlarına göre 'hızlandırılmış inceleme' (expedited review) kapsamında değerlendirilmesi gereken tek bir standart protokolün 45 farklı merkezde incelendiği çok merkezli bir çalışmada, yerel etik kurul onay sürelerinin 52 gün ile 798 gün arasında değiştiği saptanmıştır </w:t>
      </w:r>
      <w:r>
        <w:rPr>
          <w:rFonts w:ascii="Segoe UI" w:hAnsi="Segoe UI"/>
          <w:b/>
          <w:color w:val="1E3C72"/>
          <w:sz w:val="20"/>
        </w:rPr>
        <w:t>[33]</w:t>
      </w:r>
      <w:r>
        <w:rPr>
          <w:rFonts w:ascii="Segoe UI" w:hAnsi="Segoe UI"/>
          <w:color w:val="1F2937"/>
          <w:sz w:val="20"/>
        </w:rPr>
        <w:t xml:space="preserve">. Benzer şekilde, büyük bir kentsel Gazi Sağlığı İdaresi (VA) tıp merkezinde iki yıllık süreçte yeni sunulan 103 protokolün süreç analizinde, toplam inceleme sürelerinin 16 ile 631 takvim günü arasında dağıldığı ve bu devasa varyansın araştırma planlamasını imkânsız hale getirdiği görülmüştür </w:t>
      </w:r>
      <w:r>
        <w:rPr>
          <w:rFonts w:ascii="Segoe UI" w:hAnsi="Segoe UI"/>
          <w:b/>
          <w:color w:val="1E3C72"/>
          <w:sz w:val="20"/>
        </w:rPr>
        <w:t>[17]</w:t>
      </w:r>
      <w:r>
        <w:rPr>
          <w:rFonts w:ascii="Segoe UI" w:hAnsi="Segoe UI"/>
          <w:color w:val="1F2937"/>
          <w:sz w:val="20"/>
        </w:rPr>
        <w:t xml:space="preserve">. Bir diğer çok merkezli araştırmada ise tam kurul incelemelerinin medyan 131 gün, hızlandırılmış incelemelerin ise 85 gün sürdüğü; 17 merkezli bir sağlık hizmetleri araştırmasının toplamda 115 ayrı başvuru ve 6.700 saatin üzerinde personel mesaisi gerektirdiği kaydedilmiştir </w:t>
      </w:r>
      <w:r>
        <w:rPr>
          <w:rFonts w:ascii="Segoe UI" w:hAnsi="Segoe UI"/>
          <w:b/>
          <w:color w:val="1E3C72"/>
          <w:sz w:val="20"/>
        </w:rPr>
        <w:t>[27]</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Elektronik sistemlerin ve süreç yeniden tasarımının bu süreler üzerindeki etkisi incelendiğinde, literatür son derece kritik bir nedensel ilişkiyi ortaya koymaktadır: Yalnızca kağıt formları dijital ekranlara taşımak tek başına verimlilik sağlamamakta; asıl kazanım, otomasyonun eşzamanlı iş akışları, standartlaşma ve ön kontrol (triyaj) mekanizmalarıyla birleştirilmesiyle elde edilmektedir </w:t>
      </w:r>
      <w:r>
        <w:rPr>
          <w:rFonts w:ascii="Segoe UI" w:hAnsi="Segoe UI"/>
          <w:b/>
          <w:color w:val="1E3C72"/>
          <w:sz w:val="20"/>
        </w:rPr>
        <w:t>[17, 31, 32]</w:t>
      </w:r>
      <w:r>
        <w:rPr>
          <w:rFonts w:ascii="Segoe UI" w:hAnsi="Segoe UI"/>
          <w:color w:val="1F2937"/>
          <w:sz w:val="20"/>
        </w:rPr>
        <w:t xml:space="preserve">. Nitekim kapsamlı bir protokol geliştirme ve inceleme birimi analizinde, iyileştirme öncesinde süreçteki 'katma değerli zaman oranının' (value-added ratio - gerçekte üretken olarak harcanan sürenin toplam süreye oranı) yalnızca %2 ile %12,6 arasında olduğu ve 'ilk seferde kalite' (first-time quality) oranının %0 olduğu, yani sunulan protokollerin %100'ünün yeniden işleme (rework) ve düzeltmeye ihtiyaç duyduğu tespit edilmiştir </w:t>
      </w:r>
      <w:r>
        <w:rPr>
          <w:rFonts w:ascii="Segoe UI" w:hAnsi="Segoe UI"/>
          <w:b/>
          <w:color w:val="1E3C72"/>
          <w:sz w:val="20"/>
        </w:rPr>
        <w:t>[32]</w:t>
      </w:r>
      <w:r>
        <w:rPr>
          <w:rFonts w:ascii="Segoe UI" w:hAnsi="Segoe UI"/>
          <w:color w:val="1F2937"/>
          <w:sz w:val="20"/>
        </w:rPr>
        <w:t xml:space="preserve">. Birbirine bağımlı olmayan görevlerin eşzamanlı (concurrent) alt süreçler halinde paralel yürütülmesi ve üst akıştaki hataların eğitim ve standartlaşmayla sıfırlanması sonucunda; personel sayısı hiç artırılmadan dahili protokollerin ortalama tamamlanma süresi 25,00 haftadan 10,15 haftaya (P &lt; 0,001), harici protokollerin süresi ise 20,61 haftadan 7,79 haftaya (P &lt; 0,001) düşürülmüştür </w:t>
      </w:r>
      <w:r>
        <w:rPr>
          <w:rFonts w:ascii="Segoe UI" w:hAnsi="Segoe UI"/>
          <w:b/>
          <w:color w:val="1E3C72"/>
          <w:sz w:val="20"/>
        </w:rPr>
        <w:t>[32]</w:t>
      </w:r>
      <w:r>
        <w:rPr>
          <w:rFonts w:ascii="Segoe UI" w:hAnsi="Segoe UI"/>
          <w:color w:val="1F2937"/>
          <w:sz w:val="20"/>
        </w:rPr>
        <w:t xml:space="preserve">. Daha da önemlisi, süreçteki varyans istatistiksel olarak anlamlı biçimde daraltılarak (dahili protokollerde P = 0,009; harici protokollerde P = 0,0002) 108 haftayı aşan öngörülemez gecikmeler tamamen ortadan kaldırılmış ve kontrol edilebilir bir operasyonel yapı kurulmuştur </w:t>
      </w:r>
      <w:r>
        <w:rPr>
          <w:rFonts w:ascii="Segoe UI" w:hAnsi="Segoe UI"/>
          <w:b/>
          <w:color w:val="1E3C72"/>
          <w:sz w:val="20"/>
        </w:rPr>
        <w:t>[32]</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Elektronik altyapının insan etkileşimiyle nasıl optimize edilebileceğine dair en yenilikçi model ise Wisconsin Tıp Fakültesi'nde geliştirilen 'Gerçek Zamanlı Etik Kurul' (Real-Time IRB) uygulamasıdır </w:t>
      </w:r>
      <w:r>
        <w:rPr>
          <w:rFonts w:ascii="Segoe UI" w:hAnsi="Segoe UI"/>
          <w:b/>
          <w:color w:val="1E3C72"/>
          <w:sz w:val="20"/>
        </w:rPr>
        <w:t>[25]</w:t>
      </w:r>
      <w:r>
        <w:rPr>
          <w:rFonts w:ascii="Segoe UI" w:hAnsi="Segoe UI"/>
          <w:color w:val="1F2937"/>
          <w:sz w:val="20"/>
        </w:rPr>
        <w:t xml:space="preserve">. Araştırmacıların elektronik başvuru sistemini kullanarak eksiksiz dosya sunduğu, ancak olası revizyonların asenkron yazışmalar yerine kurul toplantısı sırasında araştırmacı ve komite arasında eşzamanlı/yüz yüze karara bağlandığı bu modelde; standart süreçte ortalama 63 takvim günü süren nihai onay süresi tüm gerçek zamanlı çalışmalarda ortalama 27,8 güne (medyan 21,5 gün), harici kurumsal sorunlar (bütçe ve sözleşme birimlerindeki gecikmeler) dışlandığında ise ortalama 18,76 güne düşerek toplam sürede %70 oranında bir azalma sağlamıştır </w:t>
      </w:r>
      <w:r>
        <w:rPr>
          <w:rFonts w:ascii="Segoe UI" w:hAnsi="Segoe UI"/>
          <w:b/>
          <w:color w:val="1E3C72"/>
          <w:sz w:val="20"/>
        </w:rPr>
        <w:t>[25]</w:t>
      </w:r>
      <w:r>
        <w:rPr>
          <w:rFonts w:ascii="Segoe UI" w:hAnsi="Segoe UI"/>
          <w:color w:val="1F2937"/>
          <w:sz w:val="20"/>
        </w:rPr>
        <w:t>.</w:t>
      </w:r>
    </w:p>
    <w:p>
      <w:pPr>
        <w:spacing w:before="120" w:after="40"/>
        <w:jc w:val="center"/>
      </w:pPr>
      <w:r>
        <w:drawing>
          <wp:inline xmlns:a="http://schemas.openxmlformats.org/drawingml/2006/main" xmlns:pic="http://schemas.openxmlformats.org/drawingml/2006/picture">
            <wp:extent cx="5303520" cy="7311542"/>
            <wp:docPr id="1" name="Picture 1"/>
            <wp:cNvGraphicFramePr>
              <a:graphicFrameLocks noChangeAspect="1"/>
            </wp:cNvGraphicFramePr>
            <a:graphic>
              <a:graphicData uri="http://schemas.openxmlformats.org/drawingml/2006/picture">
                <pic:pic>
                  <pic:nvPicPr>
                    <pic:cNvPr id="0" name="lit_fig_01_tat.png"/>
                    <pic:cNvPicPr/>
                  </pic:nvPicPr>
                  <pic:blipFill>
                    <a:blip r:embed="rId9"/>
                    <a:stretch>
                      <a:fillRect/>
                    </a:stretch>
                  </pic:blipFill>
                  <pic:spPr>
                    <a:xfrm>
                      <a:off x="0" y="0"/>
                      <a:ext cx="5303520" cy="7311542"/>
                    </a:xfrm>
                    <a:prstGeom prst="rect"/>
                  </pic:spPr>
                </pic:pic>
              </a:graphicData>
            </a:graphic>
          </wp:inline>
        </w:drawing>
      </w:r>
    </w:p>
    <w:p>
      <w:pPr>
        <w:spacing w:after="160"/>
        <w:jc w:val="center"/>
      </w:pPr>
      <w:r>
        <w:rPr>
          <w:rFonts w:ascii="Segoe UI" w:hAnsi="Segoe UI"/>
          <w:b/>
          <w:color w:val="0F172A"/>
          <w:sz w:val="18"/>
        </w:rPr>
        <w:t xml:space="preserve">Şekil 1: Süreç Standartlaşması ve Gerçek Zamanlı (Real-Time) e-IRB Tasarımının Onay Sürelerine Etkisi </w:t>
      </w:r>
      <w:r>
        <w:rPr>
          <w:rFonts w:ascii="Segoe UI" w:hAnsi="Segoe UI"/>
          <w:b/>
          <w:color w:val="1E3C72"/>
          <w:sz w:val="18"/>
        </w:rPr>
        <w:t>[25, 32]</w:t>
      </w:r>
    </w:p>
    <w:p>
      <w:pPr>
        <w:spacing w:line="283" w:lineRule="auto" w:after="120"/>
        <w:ind w:firstLine="360"/>
        <w:jc w:val="both"/>
      </w:pPr>
      <w:r>
        <w:rPr>
          <w:rFonts w:ascii="Segoe UI" w:hAnsi="Segoe UI"/>
          <w:color w:val="1F2937"/>
          <w:sz w:val="20"/>
        </w:rPr>
        <w:t xml:space="preserve">Literatürdeki bir diğer önemli bulgu, kağıt sistemden elektronik sisteme geçişin ilk aşamasında yaşanan 'Geçiş Dönemi Paradoksu'dur </w:t>
      </w:r>
      <w:r>
        <w:rPr>
          <w:rFonts w:ascii="Segoe UI" w:hAnsi="Segoe UI"/>
          <w:b/>
          <w:color w:val="1E3C72"/>
          <w:sz w:val="20"/>
        </w:rPr>
        <w:t>[9]</w:t>
      </w:r>
      <w:r>
        <w:rPr>
          <w:rFonts w:ascii="Segoe UI" w:hAnsi="Segoe UI"/>
          <w:color w:val="1F2937"/>
          <w:sz w:val="20"/>
        </w:rPr>
        <w:t xml:space="preserve">. Tayland'da CUREC elektronik başvuru sisteminin performansını üç dönemde — (1) Kağıt tabanlı dönem (Ocak–Aralık 2021), (2) Elektronik Faz I / Geçiş dönemi (Ocak 2022–Şubat 2024) ve (3) Elektronik Faz II / Tam uygulama dönemi (Mart–Aralık 2024) — Kruskal-Wallis testi ile karşılaştıran araştırmada, tüm inceleme türlerinin medyan dönüş süresinin Elektronik Faz I'de (geçiş döneminde) kağıt tabanlı döneme kıyasla arttığı, ancak sistemin tam olarak oturduğu Faz II'de (ve hızlandırılmış incelemelerde) anlamlı biçimde azaldığı saptanmıştır </w:t>
      </w:r>
      <w:r>
        <w:rPr>
          <w:rFonts w:ascii="Segoe UI" w:hAnsi="Segoe UI"/>
          <w:b/>
          <w:color w:val="1E3C72"/>
          <w:sz w:val="20"/>
        </w:rPr>
        <w:t>[9]</w:t>
      </w:r>
      <w:r>
        <w:rPr>
          <w:rFonts w:ascii="Segoe UI" w:hAnsi="Segoe UI"/>
          <w:color w:val="1F2937"/>
          <w:sz w:val="20"/>
        </w:rPr>
        <w:t xml:space="preserve">. Benzer şekilde, Arizona Üniversitesi'nin yeni eIRB ve Kuali Research sistemlerine geçiş sürecinde görüldüğü üzere, kurumlar sistem devreye alınmadan (go-live) yaklaşık iki hafta önce hiçbir başvurunun kabul edilmediği planlı 'karartma dönemleri' (blackout periods) uygulamak zorunda kalmakta ve eski sistemdeki protokol belgeleri yeni sisteme otomatik aktarılamadığında (migration kısıtları) geçici operasyonel yavaşlamalar yaşanmaktadır </w:t>
      </w:r>
      <w:r>
        <w:rPr>
          <w:rFonts w:ascii="Segoe UI" w:hAnsi="Segoe UI"/>
          <w:b/>
          <w:color w:val="1E3C72"/>
          <w:sz w:val="20"/>
        </w:rPr>
        <w:t>[11]</w:t>
      </w:r>
      <w:r>
        <w:rPr>
          <w:rFonts w:ascii="Segoe UI" w:hAnsi="Segoe UI"/>
          <w:color w:val="1F2937"/>
          <w:sz w:val="20"/>
        </w:rPr>
        <w:t xml:space="preserve">. Bu veriler, e-IRB kurulumlarının başlangıçta kurumsal öğrenme eğrisi ve hakem/komite yapısındaki adaptasyon süreçleri nedeniyle geçici bir sürtünme yarattığını, gerçek hız kazanımlarının ise ancak kurumsal olgunluk aşamasında (Faz II) ortaya çıktığını kanıtlamaktadır </w:t>
      </w:r>
      <w:r>
        <w:rPr>
          <w:rFonts w:ascii="Segoe UI" w:hAnsi="Segoe UI"/>
          <w:b/>
          <w:color w:val="1E3C72"/>
          <w:sz w:val="20"/>
        </w:rPr>
        <w:t>[9]</w:t>
      </w:r>
      <w:r>
        <w:rPr>
          <w:rFonts w:ascii="Segoe UI" w:hAnsi="Segoe UI"/>
          <w:color w:val="1F2937"/>
          <w:sz w:val="20"/>
        </w:rPr>
        <w:t xml:space="preserve">. Nitekim Rutgers Üniversitesi'nin Huron eIRB sistemi üzerinden yürüttüğü 2019–2020 karşılaştırmalı analizi, olgunlaşmış bir elektronik altyapının kriz anlarındaki esnekliğini doğrulamaktadır: Mart 2020'deki COVID-19 acil durum kararının ardından başvuru hacminde yaşanan ani ve 15 ay süren devasa artışa rağmen, e-IRB iş akışı sayesinde hem COVID-19 hem de COVID-19 dışı tam kurul protokollerinde medyan onay süreleri ve uç değerler 2019 yılına kıyasla daha da aşağı çekilmiştir </w:t>
      </w:r>
      <w:r>
        <w:rPr>
          <w:rFonts w:ascii="Segoe UI" w:hAnsi="Segoe UI"/>
          <w:b/>
          <w:color w:val="1E3C72"/>
          <w:sz w:val="20"/>
        </w:rPr>
        <w:t>[15]</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Öte yandan, onay sürelerindeki gecikmelerin kaynağını yalnızca etik kurul sekreteryasına veya hakemlere atfetmek yanıltıcıdır </w:t>
      </w:r>
      <w:r>
        <w:rPr>
          <w:rFonts w:ascii="Segoe UI" w:hAnsi="Segoe UI"/>
          <w:b/>
          <w:color w:val="1E3C72"/>
          <w:sz w:val="20"/>
        </w:rPr>
        <w:t>[23, 34]</w:t>
      </w:r>
      <w:r>
        <w:rPr>
          <w:rFonts w:ascii="Segoe UI" w:hAnsi="Segoe UI"/>
          <w:color w:val="1F2937"/>
          <w:sz w:val="20"/>
        </w:rPr>
        <w:t xml:space="preserve">. Hızlandırılmış inceleme kapsamında onaylanan 593 çalışmanın incelendiği ampirik bir araştırmada, ilk başvurudan onaya kadar geçen toplam sürenin ortalama 57,0 gün (SS = 50,0) olduğu; ancak bu sürenin ortalama 21,9 gününde (SS = 34,1) başvurunun düzeltme veya eksiklik nedeniyle doğrudan araştırma ekibinin kendisinde beklediği belirlenmiştir </w:t>
      </w:r>
      <w:r>
        <w:rPr>
          <w:rFonts w:ascii="Segoe UI" w:hAnsi="Segoe UI"/>
          <w:b/>
          <w:color w:val="1E3C72"/>
          <w:sz w:val="20"/>
        </w:rPr>
        <w:t>[34]</w:t>
      </w:r>
      <w:r>
        <w:rPr>
          <w:rFonts w:ascii="Segoe UI" w:hAnsi="Segoe UI"/>
          <w:color w:val="1F2937"/>
          <w:sz w:val="20"/>
        </w:rPr>
        <w:t xml:space="preserve">. Özellikle kıdemsiz öğretim üyeleri ve asistanlar (trainees/junior faculty) tarafından hazırlanan başvuruların kalitesi düşüktür </w:t>
      </w:r>
      <w:r>
        <w:rPr>
          <w:rFonts w:ascii="Segoe UI" w:hAnsi="Segoe UI"/>
          <w:b/>
          <w:color w:val="1E3C72"/>
          <w:sz w:val="20"/>
        </w:rPr>
        <w:t>[34]</w:t>
      </w:r>
      <w:r>
        <w:rPr>
          <w:rFonts w:ascii="Segoe UI" w:hAnsi="Segoe UI"/>
          <w:color w:val="1F2937"/>
          <w:sz w:val="20"/>
        </w:rPr>
        <w:t xml:space="preserve">. Bu noktada e-IRB sistemlerine 'İncelemeye Hazır Değil' (Not Ready for Review - NRR) şeklinde bir ön triyaj mekanizması eklenmesi ve araştırmacılara regülasyon danışmanlığı verilmesi kritik rol oynamaktadır </w:t>
      </w:r>
      <w:r>
        <w:rPr>
          <w:rFonts w:ascii="Segoe UI" w:hAnsi="Segoe UI"/>
          <w:b/>
          <w:color w:val="1E3C72"/>
          <w:sz w:val="20"/>
        </w:rPr>
        <w:t>[34]</w:t>
      </w:r>
      <w:r>
        <w:rPr>
          <w:rFonts w:ascii="Segoe UI" w:hAnsi="Segoe UI"/>
          <w:color w:val="1F2937"/>
          <w:sz w:val="20"/>
        </w:rPr>
        <w:t xml:space="preserve">. Danışmanlık desteği almayan NRR başvurularının %6,5'inin (n = 3) yeniden sunulduğunda tekrar NRR olarak reddedildiği, %13,0'ünün (n = 6) çözümsüz kaldığı ve %39,1'inin (n = 18) tamamen geri çekildiği görülmüştür </w:t>
      </w:r>
      <w:r>
        <w:rPr>
          <w:rFonts w:ascii="Segoe UI" w:hAnsi="Segoe UI"/>
          <w:b/>
          <w:color w:val="1E3C72"/>
          <w:sz w:val="20"/>
        </w:rPr>
        <w:t>[34]</w:t>
      </w:r>
      <w:r>
        <w:rPr>
          <w:rFonts w:ascii="Segoe UI" w:hAnsi="Segoe UI"/>
          <w:color w:val="1F2937"/>
          <w:sz w:val="20"/>
        </w:rPr>
        <w:t>.</w:t>
      </w:r>
    </w:p>
    <w:p>
      <w:pPr>
        <w:pStyle w:val="Heading2"/>
        <w:spacing w:before="160" w:after="80"/>
      </w:pPr>
      <w:r>
        <w:rPr>
          <w:rFonts w:ascii="Segoe UI" w:hAnsi="Segoe UI"/>
          <w:color w:val="0284C7"/>
          <w:sz w:val="24"/>
        </w:rPr>
        <w:t>1.4. Kullanıcı Deneyimi (UX), Teknoloji Kabulü ve Sosyo-Teknik Darboğazlar</w:t>
      </w:r>
    </w:p>
    <w:p>
      <w:pPr>
        <w:spacing w:line="283" w:lineRule="auto" w:after="120"/>
        <w:ind w:firstLine="360"/>
        <w:jc w:val="both"/>
      </w:pPr>
      <w:r>
        <w:rPr>
          <w:rFonts w:ascii="Segoe UI" w:hAnsi="Segoe UI"/>
          <w:color w:val="1F2937"/>
          <w:sz w:val="20"/>
        </w:rPr>
        <w:t xml:space="preserve">Etik kurul otomasyonlarının teknik kapasitesi ne kadar yüksek olursa olsun, sistemin nihai başarısı araştırmacıların, kurul üyelerinin ve idari personelin sistemi nasıl deneyimlediği ve benimsediği ile doğrudan ilişkilidir </w:t>
      </w:r>
      <w:r>
        <w:rPr>
          <w:rFonts w:ascii="Segoe UI" w:hAnsi="Segoe UI"/>
          <w:b/>
          <w:color w:val="1E3C72"/>
          <w:sz w:val="20"/>
        </w:rPr>
        <w:t>[9, 36]</w:t>
      </w:r>
      <w:r>
        <w:rPr>
          <w:rFonts w:ascii="Segoe UI" w:hAnsi="Segoe UI"/>
          <w:color w:val="1F2937"/>
          <w:sz w:val="20"/>
        </w:rPr>
        <w:t xml:space="preserve">. Literatürde bu sistemlerin kullanılabilirliğini (usability) ve hizmet kalitesini ölçmek için Sistem Kullanılabilirlik Ölçeği (System Usability Scale - SUS; 0–100 arası puanlanan 10 soruluk standart ölçek), Net Tavsiye Skoru (NPS), göz izleme (eye-tracking) analizlerindeki İlk Odaklanma Süresi (Time to First Fixation - TTF), Tıklama Oranı (CTR), Teknoloji Kabul Modeli (TAM) ve ISO/IEC 25010 yazılım kalite standartları gibi çok boyutlu metrikler kullanılmaktadır </w:t>
      </w:r>
      <w:r>
        <w:rPr>
          <w:rFonts w:ascii="Segoe UI" w:hAnsi="Segoe UI"/>
          <w:b/>
          <w:color w:val="1E3C72"/>
          <w:sz w:val="20"/>
        </w:rPr>
        <w:t>[17, 29, 36, 47]</w:t>
      </w:r>
      <w:r>
        <w:rPr>
          <w:rFonts w:ascii="Segoe UI" w:hAnsi="Segoe UI"/>
          <w:color w:val="1F2937"/>
          <w:sz w:val="20"/>
        </w:rPr>
        <w:t xml:space="preserve">. Ayrıca genel etik kurul işlevlerini araştırmacı gözüyle değerlendirmek üzere Keith-Spiegel ve Koocher tarafından geliştirilen 45 maddelik IRB-RAT (IRB Researcher Assessment Tool) ölçeği, REDCap gibi güvenli elektronik veri tabanları üzerinden uygulanarak araştırmacıların 'ideal etik kurul' beklentileri ile 'mevcut sistem performansı' arasındaki farkları (7'li Likert ölçeğinde) ölçmektedir </w:t>
      </w:r>
      <w:r>
        <w:rPr>
          <w:rFonts w:ascii="Segoe UI" w:hAnsi="Segoe UI"/>
          <w:b/>
          <w:color w:val="1E3C72"/>
          <w:sz w:val="20"/>
        </w:rPr>
        <w:t>[37]</w:t>
      </w:r>
      <w:r>
        <w:rPr>
          <w:rFonts w:ascii="Segoe UI" w:hAnsi="Segoe UI"/>
          <w:color w:val="1F2937"/>
          <w:sz w:val="20"/>
        </w:rPr>
        <w:t xml:space="preserve">. Nitekim Suudi Arabistan'da 53 kayıtlı etik kurulu kapsayan 2025 tarihli bir IRB-RAT araştırmasında, araştırmacıların en hayati bulduğu unsurun 'hakem ve komite önyargısının bulunmaması' (6,73 puan) olduğu; ideal ile mevcut durum arasındaki en küçük farkın 'insan katılımcıların korunması' (0,51 puan fark), en büyük açığın ise 'kurul başkanının deneyimli bir araştırmacı olması gerekliliği' (1,53 puan fark) maddesinde ortaya çıktığı belirlenmiştir </w:t>
      </w:r>
      <w:r>
        <w:rPr>
          <w:rFonts w:ascii="Segoe UI" w:hAnsi="Segoe UI"/>
          <w:b/>
          <w:color w:val="1E3C72"/>
          <w:sz w:val="20"/>
        </w:rPr>
        <w:t>[37]</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Elektronik platformlara geçişin kullanıcı memnuniyeti üzerindeki etkileri incelendiğinde, kurumsal olarak yapılandırılmış e-IRB sistemlerinin paydaşlar nezdinde yüksek kabul gördüğü, ancak kullanıcı grupları arasında dikkate değer bir algı farklılaşması yaşandığı gözlemlenmektedir </w:t>
      </w:r>
      <w:r>
        <w:rPr>
          <w:rFonts w:ascii="Segoe UI" w:hAnsi="Segoe UI"/>
          <w:b/>
          <w:color w:val="1E3C72"/>
          <w:sz w:val="20"/>
        </w:rPr>
        <w:t>[9]</w:t>
      </w:r>
      <w:r>
        <w:rPr>
          <w:rFonts w:ascii="Segoe UI" w:hAnsi="Segoe UI"/>
          <w:color w:val="1F2937"/>
          <w:sz w:val="20"/>
        </w:rPr>
        <w:t xml:space="preserve">. CUREC elektronik sistemi üzerine yapılan çalışmada (toplam N = 125 katılımcı; uzman içerik geçerliliği IOC skoru araştırmacı anketi için 0,85, kurul üyeleri ve personel için 0,94), kurul üyelerinin %97,3'ü (%51,4 çok memnun, %45,9 memnun) sistemden memnuniyet duyarken, araştırmacılarda bu oran %80,0 (%28,2 çok memnun, %51,8 memnun; %18,8 kararsız ve %1,2 memnun değil) düzeyinde gerçekleşmiştir </w:t>
      </w:r>
      <w:r>
        <w:rPr>
          <w:rFonts w:ascii="Segoe UI" w:hAnsi="Segoe UI"/>
          <w:b/>
          <w:color w:val="1E3C72"/>
          <w:sz w:val="20"/>
        </w:rPr>
        <w:t>[9]</w:t>
      </w:r>
      <w:r>
        <w:rPr>
          <w:rFonts w:ascii="Segoe UI" w:hAnsi="Segoe UI"/>
          <w:color w:val="1F2937"/>
          <w:sz w:val="20"/>
        </w:rPr>
        <w:t xml:space="preserve">. Sistemin en yüksek beğeni toplayan bileşenleri, bürokratik angaryayı doğrudan ortadan kaldıran 'sisteme kayıt süreci' (%93 memnun veya çok memnun) ile 'çevrimiçi onay sertifikası üretimi' (%92,3 memnun veya çok memnun) olmuştur </w:t>
      </w:r>
      <w:r>
        <w:rPr>
          <w:rFonts w:ascii="Segoe UI" w:hAnsi="Segoe UI"/>
          <w:b/>
          <w:color w:val="1E3C72"/>
          <w:sz w:val="20"/>
        </w:rPr>
        <w:t>[9]</w:t>
      </w:r>
      <w:r>
        <w:rPr>
          <w:rFonts w:ascii="Segoe UI" w:hAnsi="Segoe UI"/>
          <w:color w:val="1F2937"/>
          <w:sz w:val="20"/>
        </w:rPr>
        <w:t xml:space="preserve">. Kurumsal e-IRB sistemlerinin bu yüksek performansına karşın, araştırmacıların karmaşık başvuru süreçlerini aşmak için başvurdukları doğrulanmamış genel amaçlı yapay zekâ araçları (Kwon vd., 2024 tarafından incelenen 42 uygulama) regülasyon gerekliliklerini karşılamada büyük ölçüde yetersiz kalmaktadır </w:t>
      </w:r>
      <w:r>
        <w:rPr>
          <w:rFonts w:ascii="Segoe UI" w:hAnsi="Segoe UI"/>
          <w:b/>
          <w:color w:val="1E3C72"/>
          <w:sz w:val="20"/>
        </w:rPr>
        <w:t>[38]</w:t>
      </w:r>
      <w:r>
        <w:rPr>
          <w:rFonts w:ascii="Segoe UI" w:hAnsi="Segoe UI"/>
          <w:color w:val="1F2937"/>
          <w:sz w:val="20"/>
        </w:rPr>
        <w:t>.</w:t>
      </w:r>
    </w:p>
    <w:p>
      <w:pPr>
        <w:spacing w:before="120" w:after="4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lit_fig_02_ux_ai.png"/>
                    <pic:cNvPicPr/>
                  </pic:nvPicPr>
                  <pic:blipFill>
                    <a:blip r:embed="rId10"/>
                    <a:stretch>
                      <a:fillRect/>
                    </a:stretch>
                  </pic:blipFill>
                  <pic:spPr>
                    <a:xfrm>
                      <a:off x="0" y="0"/>
                      <a:ext cx="5303520" cy="2960104"/>
                    </a:xfrm>
                    <a:prstGeom prst="rect"/>
                  </pic:spPr>
                </pic:pic>
              </a:graphicData>
            </a:graphic>
          </wp:inline>
        </w:drawing>
      </w:r>
    </w:p>
    <w:p>
      <w:pPr>
        <w:spacing w:after="160"/>
        <w:jc w:val="center"/>
      </w:pPr>
      <w:r>
        <w:rPr>
          <w:rFonts w:ascii="Segoe UI" w:hAnsi="Segoe UI"/>
          <w:b/>
          <w:color w:val="0F172A"/>
          <w:sz w:val="18"/>
        </w:rPr>
        <w:t xml:space="preserve">Şekil 2: Kurumsal e-IRB (CUREC) Paydaş Memnuniyet Dağılımı ve Mevcut Yapay Zekâ Araçlarının Yetkinlik Analizi </w:t>
      </w:r>
      <w:r>
        <w:rPr>
          <w:rFonts w:ascii="Segoe UI" w:hAnsi="Segoe UI"/>
          <w:b/>
          <w:color w:val="1E3C72"/>
          <w:sz w:val="18"/>
        </w:rPr>
        <w:t>[9, 38]</w:t>
      </w:r>
    </w:p>
    <w:p>
      <w:pPr>
        <w:spacing w:line="283" w:lineRule="auto" w:after="120"/>
        <w:ind w:firstLine="360"/>
        <w:jc w:val="both"/>
      </w:pPr>
      <w:r>
        <w:rPr>
          <w:rFonts w:ascii="Segoe UI" w:hAnsi="Segoe UI"/>
          <w:color w:val="1F2937"/>
          <w:sz w:val="20"/>
        </w:rPr>
        <w:t xml:space="preserve">CUREC sistemindeki olumlu tabloya rağmen, Boston Üniversitesi'nin INSPIR II sistemi üzerine yürüttüğü 2025 ve 2026 yılı kullanıcı memnuniyeti anketleri (92 benzersiz protokolü kapsayan veriler), önemli bir tasarım paradoksunu açığa çıkarmaktadır </w:t>
      </w:r>
      <w:r>
        <w:rPr>
          <w:rFonts w:ascii="Segoe UI" w:hAnsi="Segoe UI"/>
          <w:b/>
          <w:color w:val="1E3C72"/>
          <w:sz w:val="20"/>
        </w:rPr>
        <w:t>[16]</w:t>
      </w:r>
      <w:r>
        <w:rPr>
          <w:rFonts w:ascii="Segoe UI" w:hAnsi="Segoe UI"/>
          <w:color w:val="1F2937"/>
          <w:sz w:val="20"/>
        </w:rPr>
        <w:t xml:space="preserve">. Araştırmacıların %84'ü etik kurulun regülasyon engellerini aşmada yardımcı olduğunu ve %79'u revizyon taleplerinin açık ve anlaşılır olduğunu belirtirken, INSPIR II platformunun arayüz kullanılabilirliği (usability) kurumun en büyük sorun alanı olmaya devam etmiştir </w:t>
      </w:r>
      <w:r>
        <w:rPr>
          <w:rFonts w:ascii="Segoe UI" w:hAnsi="Segoe UI"/>
          <w:b/>
          <w:color w:val="1E3C72"/>
          <w:sz w:val="20"/>
        </w:rPr>
        <w:t>[16]</w:t>
      </w:r>
      <w:r>
        <w:rPr>
          <w:rFonts w:ascii="Segoe UI" w:hAnsi="Segoe UI"/>
          <w:color w:val="1F2937"/>
          <w:sz w:val="20"/>
        </w:rPr>
        <w:t xml:space="preserve">. Bu durum, araştırmacıların etik kurulun kurumsal hizmetinden memnun olsalar dahi, karmaşık yazılım arayüzleriyle etkileşimde ciddi sürtünmeler yaşadıklarını göstermektedir </w:t>
      </w:r>
      <w:r>
        <w:rPr>
          <w:rFonts w:ascii="Segoe UI" w:hAnsi="Segoe UI"/>
          <w:b/>
          <w:color w:val="1E3C72"/>
          <w:sz w:val="20"/>
        </w:rPr>
        <w:t>[16]</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Literatürdeki nitel ve nicel araştırmalar, bu arayüz sürtünmelerinin ötesinde etik kurul otomasyonlarının beraberinde getirdiği derin sosyo-teknik darboğazları kapsamlı biçimde ortaya koymaktadır </w:t>
      </w:r>
      <w:r>
        <w:rPr>
          <w:rFonts w:ascii="Segoe UI" w:hAnsi="Segoe UI"/>
          <w:b/>
          <w:color w:val="1E3C72"/>
          <w:sz w:val="20"/>
        </w:rPr>
        <w:t>[6, 39]</w:t>
      </w:r>
      <w:r>
        <w:rPr>
          <w:rFonts w:ascii="Segoe UI" w:hAnsi="Segoe UI"/>
          <w:color w:val="1F2937"/>
          <w:sz w:val="20"/>
        </w:rPr>
        <w:t xml:space="preserve">. İlk önemli darboğaz, deneyimsiz araştırmacıların metodolojik zayıflıklarının dijital ortamda büyümesi (amplification) olgusudur </w:t>
      </w:r>
      <w:r>
        <w:rPr>
          <w:rFonts w:ascii="Segoe UI" w:hAnsi="Segoe UI"/>
          <w:b/>
          <w:color w:val="1E3C72"/>
          <w:sz w:val="20"/>
        </w:rPr>
        <w:t>[39]</w:t>
      </w:r>
      <w:r>
        <w:rPr>
          <w:rFonts w:ascii="Segoe UI" w:hAnsi="Segoe UI"/>
          <w:color w:val="1F2937"/>
          <w:sz w:val="20"/>
        </w:rPr>
        <w:t xml:space="preserve">. Endonezya, Malezya, Güney Afrika ve Suudi Arabistan'da yapılan çalışmalar, özellikle lisans ve lisansüstü öğrencilerin araştırma problemi tanımlama, metodoloji kurgulama ve etik ilkeleri operasyonelleştirme konusunda ciddi eğitim eksiklikleri bulunduğunu ve bu nedenle başvurularını defalarca yeniden sunmak (resubmission) zorunda kaldıklarını göstermektedir </w:t>
      </w:r>
      <w:r>
        <w:rPr>
          <w:rFonts w:ascii="Segoe UI" w:hAnsi="Segoe UI"/>
          <w:b/>
          <w:color w:val="1E3C72"/>
          <w:sz w:val="20"/>
        </w:rPr>
        <w:t>[39]</w:t>
      </w:r>
      <w:r>
        <w:rPr>
          <w:rFonts w:ascii="Segoe UI" w:hAnsi="Segoe UI"/>
          <w:color w:val="1F2937"/>
          <w:sz w:val="20"/>
        </w:rPr>
        <w:t xml:space="preserve">. Dijital aracılı etik kurul sistemlerinde bu zayıflıklar azalmamakta, aksine daha da keskinleşmektedir; çünkü yeterli öğretici rehberlikten yoksun olan öğrenciler, karmaşık e-IRB arayüzlerinde gezinirken kavramsal bilgi ile operasyonel uygulama arasındaki boşlukta kaybolmaktadır </w:t>
      </w:r>
      <w:r>
        <w:rPr>
          <w:rFonts w:ascii="Segoe UI" w:hAnsi="Segoe UI"/>
          <w:b/>
          <w:color w:val="1E3C72"/>
          <w:sz w:val="20"/>
        </w:rPr>
        <w:t>[39]</w:t>
      </w:r>
      <w:r>
        <w:rPr>
          <w:rFonts w:ascii="Segoe UI" w:hAnsi="Segoe UI"/>
          <w:color w:val="1F2937"/>
          <w:sz w:val="20"/>
        </w:rPr>
        <w:t xml:space="preserve">. Nitekim 2025 yılında Suudi Arabistan'da yürütülen kesitsel bir araştırmada, araştırmacıların etik farkındalıklarının keskin biçimde kutuplaştığı (%56,1 yüksek farkındalık, %37,8 düşük farkındalık ve yalnızca %6,0 orta düzey farkındalık) ve algılanan kurumsal destek ile e-IRB başvuru kolaylığı arasında istatistiksel olarak anlamlı fakat düşük büyüklükte (Cramer's V = 0,237) bir ilişki bulunduğu saptanmıştır </w:t>
      </w:r>
      <w:r>
        <w:rPr>
          <w:rFonts w:ascii="Segoe UI" w:hAnsi="Segoe UI"/>
          <w:b/>
          <w:color w:val="1E3C72"/>
          <w:sz w:val="20"/>
        </w:rPr>
        <w:t>[39]</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İkinci sosyo-teknik darboğaz, kaynak kısıtlı ortamlarda bilgi ve iletişim teknolojileri (BİT/ICT) altyapısına duyulan bağımlılık ve elektronik sistemlerin yarattığı iletişim kopukluğudur </w:t>
      </w:r>
      <w:r>
        <w:rPr>
          <w:rFonts w:ascii="Segoe UI" w:hAnsi="Segoe UI"/>
          <w:b/>
          <w:color w:val="1E3C72"/>
          <w:sz w:val="20"/>
        </w:rPr>
        <w:t>[6, 40, 41]</w:t>
      </w:r>
      <w:r>
        <w:rPr>
          <w:rFonts w:ascii="Segoe UI" w:hAnsi="Segoe UI"/>
          <w:color w:val="1F2937"/>
          <w:sz w:val="20"/>
        </w:rPr>
        <w:t xml:space="preserve">. Tanzanya'daki Muhimbili Sağlık ve İlişkili Bilimler Üniversitesi'nde (MUHAS) hem kağıt tabanlı sistemi hem de REIMS otomasyonunu deneyimlemiş 16 öğretim üyesiyle yürütülen nitel ön-son değerlendirme çalışması (Mkumbwa vd., 2025), kağıtsız sisteme geçişin kayıt yönetimini iyileştirdiğini ve kullanım kolaylığı sağladığını doğrulamıştır </w:t>
      </w:r>
      <w:r>
        <w:rPr>
          <w:rFonts w:ascii="Segoe UI" w:hAnsi="Segoe UI"/>
          <w:b/>
          <w:color w:val="1E3C72"/>
          <w:sz w:val="20"/>
        </w:rPr>
        <w:t>[5, 6]</w:t>
      </w:r>
      <w:r>
        <w:rPr>
          <w:rFonts w:ascii="Segoe UI" w:hAnsi="Segoe UI"/>
          <w:color w:val="1F2937"/>
          <w:sz w:val="20"/>
        </w:rPr>
        <w:t xml:space="preserve">. Ancak çalışma, gelişmekte olan ülkelerde kesintisiz internet ve sunucu altyapısına duyulan yüksek bağımlılığın yanı sıra, elektronik sistemin hakem ile araştırmacı arasındaki doğrudan etkileşimi sınırlandırdığını gün yüzüne çıkarmıştır </w:t>
      </w:r>
      <w:r>
        <w:rPr>
          <w:rFonts w:ascii="Segoe UI" w:hAnsi="Segoe UI"/>
          <w:b/>
          <w:color w:val="1E3C72"/>
          <w:sz w:val="20"/>
        </w:rPr>
        <w:t>[6, 13]</w:t>
      </w:r>
      <w:r>
        <w:rPr>
          <w:rFonts w:ascii="Segoe UI" w:hAnsi="Segoe UI"/>
          <w:color w:val="1F2937"/>
          <w:sz w:val="20"/>
        </w:rPr>
        <w:t xml:space="preserve">. Benzer şekilde Gazi Sağlığı İdaresi (VA) tıp merkezi ihtiyaç analizlerinde de entegre olmayan dijital platformların araştırma ekipleri ile kurul arasında bir 'iletişim uçurumu' (communication divide) yaratarak önlenebilir hataları artırdığı vurgulanmıştır </w:t>
      </w:r>
      <w:r>
        <w:rPr>
          <w:rFonts w:ascii="Segoe UI" w:hAnsi="Segoe UI"/>
          <w:b/>
          <w:color w:val="1E3C72"/>
          <w:sz w:val="20"/>
        </w:rPr>
        <w:t>[17]</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Üçüncü temel darboğaz, geleneksel biyomedikal araştırmalar için kurgulanan kalıplaşmış e-IRB form yapılarının Toplum Temelli Katılımcı Araştırmaları (CBPR) ve Toplum Katılımlı Araştırmaları (CEnR) dışlamasıdır </w:t>
      </w:r>
      <w:r>
        <w:rPr>
          <w:rFonts w:ascii="Segoe UI" w:hAnsi="Segoe UI"/>
          <w:b/>
          <w:color w:val="1E3C72"/>
          <w:sz w:val="20"/>
        </w:rPr>
        <w:t>[42, 43, 44]</w:t>
      </w:r>
      <w:r>
        <w:rPr>
          <w:rFonts w:ascii="Segoe UI" w:hAnsi="Segoe UI"/>
          <w:color w:val="1F2937"/>
          <w:sz w:val="20"/>
        </w:rPr>
        <w:t xml:space="preserve">. Sistematik kapsam incelemeleri, e-IRB sistemlerinin formülistik yaklaşımlarının toplum ortaklarını 'eşit araştırma ortağı' veya eş-yürütücü (co-PI) olarak tanımadığını, kurumsal güvenlik duvarları nedeniyle üniversite dışındaki toplum temsilcilerinin elektronik başvuru sistemine erişemediğini ve sistemin dayattığı uzun, teknik onam formu şablonlarının yerel topluluklarda güvensizlik yarattığını ortaya koymaktadır </w:t>
      </w:r>
      <w:r>
        <w:rPr>
          <w:rFonts w:ascii="Segoe UI" w:hAnsi="Segoe UI"/>
          <w:b/>
          <w:color w:val="1E3C72"/>
          <w:sz w:val="20"/>
        </w:rPr>
        <w:t>[42]</w:t>
      </w:r>
      <w:r>
        <w:rPr>
          <w:rFonts w:ascii="Segoe UI" w:hAnsi="Segoe UI"/>
          <w:color w:val="1F2937"/>
          <w:sz w:val="20"/>
        </w:rPr>
        <w:t xml:space="preserve">. Bu darboğazı aşmak için e-IRB sistemlerini güncelleyerek toplum ortaklarına doğrudan portal erişimi ve CBPR şablonları sunan kurumlar, inceleme sürelerini anlamlı ölçüde kısaltmayı başarmıştır </w:t>
      </w:r>
      <w:r>
        <w:rPr>
          <w:rFonts w:ascii="Segoe UI" w:hAnsi="Segoe UI"/>
          <w:b/>
          <w:color w:val="1E3C72"/>
          <w:sz w:val="20"/>
        </w:rPr>
        <w:t>[44]</w:t>
      </w:r>
      <w:r>
        <w:rPr>
          <w:rFonts w:ascii="Segoe UI" w:hAnsi="Segoe UI"/>
          <w:color w:val="1F2937"/>
          <w:sz w:val="20"/>
        </w:rPr>
        <w:t xml:space="preserve">. Bununla eşzamanlı olarak, modern e-IRB sistemleri yalnızca araştırmacının başvurusunu değil, katılımcının onam sürecini de elektronik bilgilendirilmiş onam (eConsent) modülleriyle dijitalleştirmeye başlamıştır </w:t>
      </w:r>
      <w:r>
        <w:rPr>
          <w:rFonts w:ascii="Segoe UI" w:hAnsi="Segoe UI"/>
          <w:b/>
          <w:color w:val="1E3C72"/>
          <w:sz w:val="20"/>
        </w:rPr>
        <w:t>[45, 46]</w:t>
      </w:r>
      <w:r>
        <w:rPr>
          <w:rFonts w:ascii="Segoe UI" w:hAnsi="Segoe UI"/>
          <w:color w:val="1F2937"/>
          <w:sz w:val="20"/>
        </w:rPr>
        <w:t>.</w:t>
      </w:r>
    </w:p>
    <w:p>
      <w:pPr>
        <w:pStyle w:val="Heading2"/>
        <w:spacing w:before="160" w:after="80"/>
      </w:pPr>
      <w:r>
        <w:rPr>
          <w:rFonts w:ascii="Segoe UI" w:hAnsi="Segoe UI"/>
          <w:color w:val="0284C7"/>
          <w:sz w:val="24"/>
        </w:rPr>
        <w:t>1.5. Çok Merkezli Araştırmalarda Tekil Etik Kurul (sIRB) Mandası ve Birlikte Çalışabilirlik Krizi</w:t>
      </w:r>
    </w:p>
    <w:p>
      <w:pPr>
        <w:spacing w:line="283" w:lineRule="auto" w:after="120"/>
        <w:ind w:firstLine="360"/>
        <w:jc w:val="both"/>
      </w:pPr>
      <w:r>
        <w:rPr>
          <w:rFonts w:ascii="Segoe UI" w:hAnsi="Segoe UI"/>
          <w:color w:val="1F2937"/>
          <w:sz w:val="20"/>
        </w:rPr>
        <w:t xml:space="preserve">Etik kurul otomasyonları literatüründeki en derin yapısal kriz, çok merkezli araştırmalarda Tekil Etik Kurul (Single IRB - sIRB veya Central IRB - CIRB) modeline geçişle birlikte ortaya çıkmıştır </w:t>
      </w:r>
      <w:r>
        <w:rPr>
          <w:rFonts w:ascii="Segoe UI" w:hAnsi="Segoe UI"/>
          <w:b/>
          <w:color w:val="1E3C72"/>
          <w:sz w:val="20"/>
        </w:rPr>
        <w:t>[1, 24]</w:t>
      </w:r>
      <w:r>
        <w:rPr>
          <w:rFonts w:ascii="Segoe UI" w:hAnsi="Segoe UI"/>
          <w:color w:val="1F2937"/>
          <w:sz w:val="20"/>
        </w:rPr>
        <w:t xml:space="preserve">. ABD Ulusal Sağlık Enstitüleri'nin (NIH) 25 Ocak 2018'de yürürlüğe giren sIRB politikası ve Ortak Kural düzenlemeleri, çok merkezli çalışmalarda her kurumun kendi yerel etik kurulunda mükerrer inceleme yapması yerine tek bir merkezî etik kurulun (Reviewing IRB) etik denetimi üstlenmesini ve diğer kurumların (Relying IRBs) bu karara dayanmasını (reliance) zorunlu kılmıştır </w:t>
      </w:r>
      <w:r>
        <w:rPr>
          <w:rFonts w:ascii="Segoe UI" w:hAnsi="Segoe UI"/>
          <w:b/>
          <w:color w:val="1E3C72"/>
          <w:sz w:val="20"/>
        </w:rPr>
        <w:t>[1]</w:t>
      </w:r>
      <w:r>
        <w:rPr>
          <w:rFonts w:ascii="Segoe UI" w:hAnsi="Segoe UI"/>
          <w:color w:val="1F2937"/>
          <w:sz w:val="20"/>
        </w:rPr>
        <w:t xml:space="preserve">. Teorik olarak bürokrasiyi azaltması ve klinik araştırmaları hızlandırması beklenen bu reform, mevcut e-IRB yazılımlarının mimari yetersizlikleri nedeniyle pratikte yeni ve ağır bir idari yük doğurmuştur </w:t>
      </w:r>
      <w:r>
        <w:rPr>
          <w:rFonts w:ascii="Segoe UI" w:hAnsi="Segoe UI"/>
          <w:b/>
          <w:color w:val="1E3C72"/>
          <w:sz w:val="20"/>
        </w:rPr>
        <w:t>[1]</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Literatürdeki ampirik bulgular, bu uyumsuzluğun temelinde mevcut e-IRB sistemlerinin neredeyse tamamının yerel tekil kurum (Local IRB - LIRB) iş akışlarına, yerel popülasyon özelliklerine ve kurum içi fon kurallarına göre tasarlanmış olmasının yattığını göstermektedir </w:t>
      </w:r>
      <w:r>
        <w:rPr>
          <w:rFonts w:ascii="Segoe UI" w:hAnsi="Segoe UI"/>
          <w:b/>
          <w:color w:val="1E3C72"/>
          <w:sz w:val="20"/>
        </w:rPr>
        <w:t>[1]</w:t>
      </w:r>
      <w:r>
        <w:rPr>
          <w:rFonts w:ascii="Segoe UI" w:hAnsi="Segoe UI"/>
          <w:color w:val="1F2937"/>
          <w:sz w:val="20"/>
        </w:rPr>
        <w:t xml:space="preserve">. Bir e-IRB sisteminin sIRB olarak görev yapabilmesi için; onlarca farklı araştırma merkeziyle yapılan güven/yetkilendirme anlaşmalarını (Reliance / Authorization Agreements) yürütmesi ve izlemesi, her merkezin kurumsal profilini ve yerel bağlam (local context) gereksinimlerini doğrulaması, yerel araştırmacıların eğitim ve çıkar çatışması bildirimlerini takip etmesi ve merkeze özgü onam formlarını ayrı ayrı yönetmesi gerekmektedir </w:t>
      </w:r>
      <w:r>
        <w:rPr>
          <w:rFonts w:ascii="Segoe UI" w:hAnsi="Segoe UI"/>
          <w:b/>
          <w:color w:val="1E3C72"/>
          <w:sz w:val="20"/>
        </w:rPr>
        <w:t>[1]</w:t>
      </w:r>
      <w:r>
        <w:rPr>
          <w:rFonts w:ascii="Segoe UI" w:hAnsi="Segoe UI"/>
          <w:color w:val="1F2937"/>
          <w:sz w:val="20"/>
        </w:rPr>
        <w:t xml:space="preserve">. Mevcut e-IRB veri tabanları bu çok katmanlı ilişkisel yapıyı desteklemediği için, en gelişmiş elektronik sistemleri kullanan akademik etik kurul başkanları ve direktörleri dahi sistemin dışında harici Excel tabloları tutarak manuel geçici çözümlere (workarounds) başvurmak zorunda kaldıklarını bildirmektedir </w:t>
      </w:r>
      <w:r>
        <w:rPr>
          <w:rFonts w:ascii="Segoe UI" w:hAnsi="Segoe UI"/>
          <w:b/>
          <w:color w:val="1E3C72"/>
          <w:sz w:val="20"/>
        </w:rPr>
        <w:t>[1]</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Bu krizin ikinci boyutu, birlikte çalışabilirlik (interoperability) eksikliği ve siber güvenlik duvarlarıdır </w:t>
      </w:r>
      <w:r>
        <w:rPr>
          <w:rFonts w:ascii="Segoe UI" w:hAnsi="Segoe UI"/>
          <w:b/>
          <w:color w:val="1E3C72"/>
          <w:sz w:val="20"/>
        </w:rPr>
        <w:t>[1]</w:t>
      </w:r>
      <w:r>
        <w:rPr>
          <w:rFonts w:ascii="Segoe UI" w:hAnsi="Segoe UI"/>
          <w:color w:val="1F2937"/>
          <w:sz w:val="20"/>
        </w:rPr>
        <w:t xml:space="preserve">. Farklı üniversitelerin kullandığı e-IRB yazılımları (veya aynı yazılımın farklı versiyonları) standartlaştırılmış bir veri formatı bulunmadığı için bilgisayardan bilgisayara (computer-to-computer) doğrudan iletişim kuramamaktadır </w:t>
      </w:r>
      <w:r>
        <w:rPr>
          <w:rFonts w:ascii="Segoe UI" w:hAnsi="Segoe UI"/>
          <w:b/>
          <w:color w:val="1E3C72"/>
          <w:sz w:val="20"/>
        </w:rPr>
        <w:t>[1]</w:t>
      </w:r>
      <w:r>
        <w:rPr>
          <w:rFonts w:ascii="Segoe UI" w:hAnsi="Segoe UI"/>
          <w:color w:val="1F2937"/>
          <w:sz w:val="20"/>
        </w:rPr>
        <w:t xml:space="preserve">. Dahası, akademik kurumların katı veri güvenliği politikaları ve güvenlik duvarları (firewalls), dış kurumdaki bir araştırmacının incelemeyi yapan kurumun e-IRB sistemine doğrudan erişmesini engellemekte; erişim sağlansa dahi dış kullanıcılar aşina olmadıkları arayüzlerde hata yapmaktadır </w:t>
      </w:r>
      <w:r>
        <w:rPr>
          <w:rFonts w:ascii="Segoe UI" w:hAnsi="Segoe UI"/>
          <w:b/>
          <w:color w:val="1E3C72"/>
          <w:sz w:val="20"/>
        </w:rPr>
        <w:t>[1]</w:t>
      </w:r>
      <w:r>
        <w:rPr>
          <w:rFonts w:ascii="Segoe UI" w:hAnsi="Segoe UI"/>
          <w:color w:val="1F2937"/>
          <w:sz w:val="20"/>
        </w:rPr>
        <w:t xml:space="preserve">. Sonuç olarak kurumlar, dış merkezlerdeki bilgileri manuel olarak toplayıp kendi e-IRB sistemlerine elle yeniden girecek özel irtibat personelleri (liaisons) görevlendirmekte; bu durum hem işgücü maliyetini artırmakta hem de manuel veri girişinden kaynaklanan transkripsiyon hatalarına yol açmaktadır </w:t>
      </w:r>
      <w:r>
        <w:rPr>
          <w:rFonts w:ascii="Segoe UI" w:hAnsi="Segoe UI"/>
          <w:b/>
          <w:color w:val="1E3C72"/>
          <w:sz w:val="20"/>
        </w:rPr>
        <w:t>[1]</w:t>
      </w:r>
      <w:r>
        <w:rPr>
          <w:rFonts w:ascii="Segoe UI" w:hAnsi="Segoe UI"/>
          <w:color w:val="1F2937"/>
          <w:sz w:val="20"/>
        </w:rPr>
        <w:t xml:space="preserve">. Buna ek olarak, kurum hukukçularının sorumluluk, kişisel yaralanma tazminatları, sigorta ve HIPAA veri paylaşımı konularındaki incelemeleri, anlaşma süreçlerini aylarca geciktirmektedir </w:t>
      </w:r>
      <w:r>
        <w:rPr>
          <w:rFonts w:ascii="Segoe UI" w:hAnsi="Segoe UI"/>
          <w:b/>
          <w:color w:val="1E3C72"/>
          <w:sz w:val="20"/>
        </w:rPr>
        <w:t>[27]</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Bu sistemik izolasyonu aşmak amacıyla literatürde iki temel çözüm stratejisi gelişmiştir: Birincisi, kendi sIRB altyapısını yeniden mühendislik (reengineering) yoluyla kuracak finansal ve teknik kaynağa sahip olmayan kurumların çok merkezli incelemeleri ticari/bağımsız etik kurullara (commercial IRBs) devretmesi veya hibe bütçelerinde doğrudan maliyet (direct cost) kalemleri oluşturmasıdır </w:t>
      </w:r>
      <w:r>
        <w:rPr>
          <w:rFonts w:ascii="Segoe UI" w:hAnsi="Segoe UI"/>
          <w:b/>
          <w:color w:val="1E3C72"/>
          <w:sz w:val="20"/>
        </w:rPr>
        <w:t>[1]</w:t>
      </w:r>
      <w:r>
        <w:rPr>
          <w:rFonts w:ascii="Segoe UI" w:hAnsi="Segoe UI"/>
          <w:color w:val="1F2937"/>
          <w:sz w:val="20"/>
        </w:rPr>
        <w:t xml:space="preserve">. İkincisi ve daha sürdürülebilir olanı ise, yerel e-IRB sistemlerinin üzerinde çalışan ulusal web tabanlı birlikte çalışabilirlik platformlarının kullanılmasıdır </w:t>
      </w:r>
      <w:r>
        <w:rPr>
          <w:rFonts w:ascii="Segoe UI" w:hAnsi="Segoe UI"/>
          <w:b/>
          <w:color w:val="1E3C72"/>
          <w:sz w:val="20"/>
        </w:rPr>
        <w:t>[27]</w:t>
      </w:r>
      <w:r>
        <w:rPr>
          <w:rFonts w:ascii="Segoe UI" w:hAnsi="Segoe UI"/>
          <w:color w:val="1F2937"/>
          <w:sz w:val="20"/>
        </w:rPr>
        <w:t xml:space="preserve">. Özellikle SMART IRB (Master Common Reciprocal IRB Authorization Agreement ve Acceptance and Flexibility Agreement) çerçevesi ve IREx (IRB Reliance Exchange) ulusal web platformu; NIH StrokeNet ve Ulusal Diş Hekimliği Uygulama Temelli Araştırma Ağı (National Dental PBRN CIRB - 2014–2025 deneyimi) gibi büyük klinik araştırma ağlarında standart sözleşme şablonları ve merkezi evrak paylaşımı sağlayarak yerel e-IRB siloları arasındaki kopukluğu gidermektedir </w:t>
      </w:r>
      <w:r>
        <w:rPr>
          <w:rFonts w:ascii="Segoe UI" w:hAnsi="Segoe UI"/>
          <w:b/>
          <w:color w:val="1E3C72"/>
          <w:sz w:val="20"/>
        </w:rPr>
        <w:t>[27, 35, 48]</w:t>
      </w:r>
      <w:r>
        <w:rPr>
          <w:rFonts w:ascii="Segoe UI" w:hAnsi="Segoe UI"/>
          <w:color w:val="1F2937"/>
          <w:sz w:val="20"/>
        </w:rPr>
        <w:t>.</w:t>
      </w:r>
    </w:p>
    <w:p>
      <w:pPr>
        <w:pStyle w:val="Heading2"/>
        <w:spacing w:before="160" w:after="80"/>
      </w:pPr>
      <w:r>
        <w:rPr>
          <w:rFonts w:ascii="Segoe UI" w:hAnsi="Segoe UI"/>
          <w:color w:val="0284C7"/>
          <w:sz w:val="24"/>
        </w:rPr>
        <w:t>1.6. Türkiye'de Etik Kurul Otomasyon Ekosistemi, Mevzuat Uyumluluğu ve Uygulama Modelleri</w:t>
      </w:r>
    </w:p>
    <w:p>
      <w:pPr>
        <w:spacing w:line="283" w:lineRule="auto" w:after="120"/>
        <w:ind w:firstLine="360"/>
        <w:jc w:val="both"/>
      </w:pPr>
      <w:r>
        <w:rPr>
          <w:rFonts w:ascii="Segoe UI" w:hAnsi="Segoe UI"/>
          <w:color w:val="1F2937"/>
          <w:sz w:val="20"/>
        </w:rPr>
        <w:t xml:space="preserve">Türkiye'deki yükseköğretim kurumları ve araştırma merkezlerinde etik kurul süreçlerinin dijitalleşmesi, uluslararası e-IRB literatürüyle paralel bir evrim göstermekle birlikte, ulusal kamu bilişim altyapısı ve yasal mevzuat çerçevesinde kendine özgü mimari modeller geliştirmiştir </w:t>
      </w:r>
      <w:r>
        <w:rPr>
          <w:rFonts w:ascii="Segoe UI" w:hAnsi="Segoe UI"/>
          <w:b/>
          <w:color w:val="1E3C72"/>
          <w:sz w:val="20"/>
        </w:rPr>
        <w:t>[10, 19, 65]</w:t>
      </w:r>
      <w:r>
        <w:rPr>
          <w:rFonts w:ascii="Segoe UI" w:hAnsi="Segoe UI"/>
          <w:color w:val="1F2937"/>
          <w:sz w:val="20"/>
        </w:rPr>
        <w:t xml:space="preserve">. Geleneksel olarak araştırmacıların fiziksel çıktı alıp ıslak imza topladığı ve dosyaları elden veya kargo yoluyla sekreteryaya teslim ettiği klasik yapı; zaman kaybı, imza sırasının karışması, danışman veya ortak yürütücünün farklı şehir/ülkede bulunması nedeniyle sürecin durması ve belgelerin kargoda kaybolması gibi riskler nedeniyle hızla terk edilmektedir </w:t>
      </w:r>
      <w:r>
        <w:rPr>
          <w:rFonts w:ascii="Segoe UI" w:hAnsi="Segoe UI"/>
          <w:b/>
          <w:color w:val="1E3C72"/>
          <w:sz w:val="20"/>
        </w:rPr>
        <w:t>[10]</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Türkiye ekosistemindeki dijital dönüşümün hukuki ve teknik omurgasını 5070 sayılı Elektronik İmza Kanunu oluşturmaktadır </w:t>
      </w:r>
      <w:r>
        <w:rPr>
          <w:rFonts w:ascii="Segoe UI" w:hAnsi="Segoe UI"/>
          <w:b/>
          <w:color w:val="1E3C72"/>
          <w:sz w:val="20"/>
        </w:rPr>
        <w:t>[10, 55]</w:t>
      </w:r>
      <w:r>
        <w:rPr>
          <w:rFonts w:ascii="Segoe UI" w:hAnsi="Segoe UI"/>
          <w:color w:val="1F2937"/>
          <w:sz w:val="20"/>
        </w:rPr>
        <w:t xml:space="preserve">. Bu kanun kapsamında üretilen Nitelikli Elektronik İmza (NES) ve mobil imza, ıslak imzalı fiziksel formlarla birebir aynı hukuki geçerliliğe sahiptir </w:t>
      </w:r>
      <w:r>
        <w:rPr>
          <w:rFonts w:ascii="Segoe UI" w:hAnsi="Segoe UI"/>
          <w:b/>
          <w:color w:val="1E3C72"/>
          <w:sz w:val="20"/>
        </w:rPr>
        <w:t>[10]</w:t>
      </w:r>
      <w:r>
        <w:rPr>
          <w:rFonts w:ascii="Segoe UI" w:hAnsi="Segoe UI"/>
          <w:color w:val="1F2937"/>
          <w:sz w:val="20"/>
        </w:rPr>
        <w:t xml:space="preserve">. Üniversiteler ve yazılım geliştiriciler bu yasal zemini iki tamamlayıcı entegrasyon modeliyle etik kurul otomasyonlarına dahil etmektedir </w:t>
      </w:r>
      <w:r>
        <w:rPr>
          <w:rFonts w:ascii="Segoe UI" w:hAnsi="Segoe UI"/>
          <w:b/>
          <w:color w:val="1E3C72"/>
          <w:sz w:val="20"/>
        </w:rPr>
        <w:t>[10]</w:t>
      </w:r>
      <w:r>
        <w:rPr>
          <w:rFonts w:ascii="Segoe UI" w:hAnsi="Segoe UI"/>
          <w:color w:val="1F2937"/>
          <w:sz w:val="20"/>
        </w:rPr>
        <w:t xml:space="preserve">. İlk yaklaşım olan araştırmacı odaklı bağımsız dijital onay modelinde (örneğin ONAYLARIM platformu), araştırmacılar başvuru formunu sisteme yükleyerek araştırma ekibindeki diğer imzacılara coğrafi bağımsızlık içinde sırayla imzalatabilmekte, dosyanın hangi imzacıda beklediğini anlık olarak izleyebilmekte ve dakikalar içinde tamamlanan elektronik imzalı belgeyi doğrudan etik kurula dijital olarak iletebilmektedir </w:t>
      </w:r>
      <w:r>
        <w:rPr>
          <w:rFonts w:ascii="Segoe UI" w:hAnsi="Segoe UI"/>
          <w:b/>
          <w:color w:val="1E3C72"/>
          <w:sz w:val="20"/>
        </w:rPr>
        <w:t>[10]</w:t>
      </w:r>
      <w:r>
        <w:rPr>
          <w:rFonts w:ascii="Segoe UI" w:hAnsi="Segoe UI"/>
          <w:color w:val="1F2937"/>
          <w:sz w:val="20"/>
        </w:rPr>
        <w:t xml:space="preserve">. İkinci yaklaşım olan kurumsal arka uç API entegrasyonu modelinde (örneğin PrimeAPI) ise, kendi etik kurul başvuru otomasyonunu geliştirmiş olan üniversiteler sıfırdan e-imza altyapısı kurmak yerine dış servis sağlayıcıların API arayüzlerini kendi sistemlerine gömmektedir </w:t>
      </w:r>
      <w:r>
        <w:rPr>
          <w:rFonts w:ascii="Segoe UI" w:hAnsi="Segoe UI"/>
          <w:b/>
          <w:color w:val="1E3C72"/>
          <w:sz w:val="20"/>
        </w:rPr>
        <w:t>[10]</w:t>
      </w:r>
      <w:r>
        <w:rPr>
          <w:rFonts w:ascii="Segoe UI" w:hAnsi="Segoe UI"/>
          <w:color w:val="1F2937"/>
          <w:sz w:val="20"/>
        </w:rPr>
        <w:t xml:space="preserve">. Bu sayede araştırmacı ve tez danışmanı, üniversitenin kendi portal arayüzünden ayrılmadan doğrudan nitelikli elektronik imzalı başvuru formu üretebilmekte, kurumlar da kullanıcı deneyimini koruyarak hukuki geçerliliği tam bir dijital onay döngüsü işletebilmektedir </w:t>
      </w:r>
      <w:r>
        <w:rPr>
          <w:rFonts w:ascii="Segoe UI" w:hAnsi="Segoe UI"/>
          <w:b/>
          <w:color w:val="1E3C72"/>
          <w:sz w:val="20"/>
        </w:rPr>
        <w:t>[10]</w:t>
      </w:r>
      <w:r>
        <w:rPr>
          <w:rFonts w:ascii="Segoe UI" w:hAnsi="Segoe UI"/>
          <w:color w:val="1F2937"/>
          <w:sz w:val="20"/>
        </w:rPr>
        <w:t>.</w:t>
      </w:r>
    </w:p>
    <w:p>
      <w:pPr>
        <w:spacing w:before="160" w:after="80"/>
        <w:jc w:val="left"/>
      </w:pPr>
      <w:r>
        <w:rPr>
          <w:rFonts w:ascii="Segoe UI" w:hAnsi="Segoe UI"/>
          <w:b/>
          <w:color w:val="1E3C72"/>
          <w:sz w:val="19"/>
        </w:rPr>
        <w:t>Tablo 3: Türkiye Etik Kurul Otomasyon Ekosistemi Mimari Katmanları ve Kurumsal Uygulama Modelleri [10, 19, 49–66]</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fill="1E3C72"/>
            <w:tcMar>
              <w:top w:w="100" w:type="dxa"/>
              <w:bottom w:w="100" w:type="dxa"/>
              <w:left w:w="120" w:type="dxa"/>
              <w:right w:w="120" w:type="dxa"/>
            </w:tcMar>
            <w:vAlign w:val="center"/>
          </w:tcPr>
          <w:p>
            <w:pPr>
              <w:jc w:val="left"/>
            </w:pPr>
            <w:r/>
            <w:r>
              <w:rPr>
                <w:rFonts w:ascii="Segoe UI" w:hAnsi="Segoe UI"/>
                <w:b/>
                <w:color w:val="FFFFFF"/>
                <w:sz w:val="18"/>
              </w:rPr>
              <w:t>Mimari Katman / Modül</w:t>
            </w:r>
          </w:p>
        </w:tc>
        <w:tc>
          <w:tcPr>
            <w:tcW w:type="dxa" w:w="2592"/>
            <w:shd w:fill="1E3C72"/>
            <w:tcMar>
              <w:top w:w="100" w:type="dxa"/>
              <w:bottom w:w="100" w:type="dxa"/>
              <w:left w:w="120" w:type="dxa"/>
              <w:right w:w="120" w:type="dxa"/>
            </w:tcMar>
            <w:vAlign w:val="center"/>
          </w:tcPr>
          <w:p>
            <w:pPr>
              <w:jc w:val="left"/>
            </w:pPr>
            <w:r/>
            <w:r>
              <w:rPr>
                <w:rFonts w:ascii="Segoe UI" w:hAnsi="Segoe UI"/>
                <w:b/>
                <w:color w:val="FFFFFF"/>
                <w:sz w:val="18"/>
              </w:rPr>
              <w:t>Türkiye Uygulama Ekosistemindeki Karşılığı ve Entegrasyon Biçimi</w:t>
            </w:r>
          </w:p>
        </w:tc>
        <w:tc>
          <w:tcPr>
            <w:tcW w:type="dxa" w:w="2592"/>
            <w:shd w:fill="1E3C72"/>
            <w:tcMar>
              <w:top w:w="100" w:type="dxa"/>
              <w:bottom w:w="100" w:type="dxa"/>
              <w:left w:w="120" w:type="dxa"/>
              <w:right w:w="120" w:type="dxa"/>
            </w:tcMar>
            <w:vAlign w:val="center"/>
          </w:tcPr>
          <w:p>
            <w:pPr>
              <w:jc w:val="left"/>
            </w:pPr>
            <w:r/>
            <w:r>
              <w:rPr>
                <w:rFonts w:ascii="Segoe UI" w:hAnsi="Segoe UI"/>
                <w:b/>
                <w:color w:val="FFFFFF"/>
                <w:sz w:val="18"/>
              </w:rPr>
              <w:t>Sağlanan Operasyonel ve Hukuki Kazanım</w:t>
            </w:r>
          </w:p>
        </w:tc>
        <w:tc>
          <w:tcPr>
            <w:tcW w:type="dxa" w:w="2304"/>
            <w:shd w:fill="1E3C72"/>
            <w:tcMar>
              <w:top w:w="100" w:type="dxa"/>
              <w:bottom w:w="100" w:type="dxa"/>
              <w:left w:w="120" w:type="dxa"/>
              <w:right w:w="120" w:type="dxa"/>
            </w:tcMar>
            <w:vAlign w:val="center"/>
          </w:tcPr>
          <w:p>
            <w:pPr>
              <w:jc w:val="left"/>
            </w:pPr>
            <w:r/>
            <w:r>
              <w:rPr>
                <w:rFonts w:ascii="Segoe UI" w:hAnsi="Segoe UI"/>
                <w:b/>
                <w:color w:val="FFFFFF"/>
                <w:sz w:val="18"/>
              </w:rPr>
              <w:t>Kurumsal ve Ticari Örnekler</w:t>
            </w:r>
          </w:p>
        </w:tc>
      </w:tr>
      <w:tr>
        <w:tc>
          <w:tcPr>
            <w:tcW w:type="dxa" w:w="2016"/>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Kimlik Doğrulama ve Tekil Giriş (SSO)</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e-Devlet Kapısı, ÜBYS (Üniversite Bilgi Yönetim Sistemi) ve ÖBS (Öğrenci Bilgi Sistemi) entegrasyonu </w:t>
            </w:r>
            <w:r>
              <w:rPr>
                <w:rFonts w:ascii="Segoe UI" w:hAnsi="Segoe UI"/>
                <w:b/>
                <w:color w:val="1E3C72"/>
                <w:sz w:val="17"/>
              </w:rPr>
              <w:t>[19, 53, 54]</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Araştırmacının tek hesapla farklı kurullara başvurması; öğrenci başvurularında danışman onayının ÖBS üzerinden kağıtsız alınması </w:t>
            </w:r>
            <w:r>
              <w:rPr>
                <w:rFonts w:ascii="Segoe UI" w:hAnsi="Segoe UI"/>
                <w:b/>
                <w:color w:val="1E3C72"/>
                <w:sz w:val="17"/>
              </w:rPr>
              <w:t>[19, 54]</w:t>
            </w:r>
            <w:r>
              <w:rPr>
                <w:rFonts w:ascii="Segoe UI" w:hAnsi="Segoe UI"/>
                <w:color w:val="1F2937"/>
                <w:sz w:val="17"/>
              </w:rPr>
              <w:t>.</w:t>
            </w:r>
          </w:p>
        </w:tc>
        <w:tc>
          <w:tcPr>
            <w:tcW w:type="dxa" w:w="230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İKÇÜ (ÜBYS Entegre) </w:t>
            </w:r>
            <w:r>
              <w:rPr>
                <w:rFonts w:ascii="Segoe UI" w:hAnsi="Segoe UI"/>
                <w:b/>
                <w:color w:val="1E3C72"/>
                <w:sz w:val="17"/>
              </w:rPr>
              <w:t>[53]</w:t>
            </w:r>
            <w:r>
              <w:rPr>
                <w:rFonts w:ascii="Segoe UI" w:hAnsi="Segoe UI"/>
                <w:color w:val="1F2937"/>
                <w:sz w:val="17"/>
              </w:rPr>
              <w:t xml:space="preserve">, ASBÜ (ÖBS Entegre) </w:t>
            </w:r>
            <w:r>
              <w:rPr>
                <w:rFonts w:ascii="Segoe UI" w:hAnsi="Segoe UI"/>
                <w:b/>
                <w:color w:val="1E3C72"/>
                <w:sz w:val="17"/>
              </w:rPr>
              <w:t>[54]</w:t>
            </w:r>
            <w:r>
              <w:rPr>
                <w:rFonts w:ascii="Segoe UI" w:hAnsi="Segoe UI"/>
                <w:color w:val="1F2937"/>
                <w:sz w:val="17"/>
              </w:rPr>
              <w:t xml:space="preserve">, Netiket (e-Devlet SSO) </w:t>
            </w:r>
            <w:r>
              <w:rPr>
                <w:rFonts w:ascii="Segoe UI" w:hAnsi="Segoe UI"/>
                <w:b/>
                <w:color w:val="1E3C72"/>
                <w:sz w:val="17"/>
              </w:rPr>
              <w:t>[19]</w:t>
            </w:r>
          </w:p>
        </w:tc>
      </w:tr>
      <w:tr>
        <w:tc>
          <w:tcPr>
            <w:tcW w:type="dxa" w:w="2016"/>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Elektronik İmza ve Resmi Yazışma</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5070 Sayılı Kanun (NES / Mobil İmza), EBYS (Elektronik Belge Yönetim Sistemi), YÖKSİS ve KEP entegrasyonu </w:t>
            </w:r>
            <w:r>
              <w:rPr>
                <w:rFonts w:ascii="Segoe UI" w:hAnsi="Segoe UI"/>
                <w:b/>
                <w:color w:val="1E3C72"/>
                <w:sz w:val="17"/>
              </w:rPr>
              <w:t>[10, 49, 55]</w:t>
            </w:r>
            <w:r>
              <w:rPr>
                <w:rFonts w:ascii="Segoe UI" w:hAnsi="Segoe UI"/>
                <w:color w:val="1F2937"/>
                <w:sz w:val="17"/>
              </w:rPr>
              <w:t>.</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Islak imza ve fiziksel kargo ihtiyacının sıfırlanması; coğrafi bağımsızlık; imza sırasının ('kimde bekliyor') anlık takibi </w:t>
            </w:r>
            <w:r>
              <w:rPr>
                <w:rFonts w:ascii="Segoe UI" w:hAnsi="Segoe UI"/>
                <w:b/>
                <w:color w:val="1E3C72"/>
                <w:sz w:val="17"/>
              </w:rPr>
              <w:t>[10]</w:t>
            </w:r>
            <w:r>
              <w:rPr>
                <w:rFonts w:ascii="Segoe UI" w:hAnsi="Segoe UI"/>
                <w:color w:val="1F2937"/>
                <w:sz w:val="17"/>
              </w:rPr>
              <w:t>.</w:t>
            </w:r>
          </w:p>
        </w:tc>
        <w:tc>
          <w:tcPr>
            <w:tcW w:type="dxa" w:w="2304"/>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Şırnak Üniv. (EBYS) </w:t>
            </w:r>
            <w:r>
              <w:rPr>
                <w:rFonts w:ascii="Segoe UI" w:hAnsi="Segoe UI"/>
                <w:b/>
                <w:color w:val="1E3C72"/>
                <w:sz w:val="17"/>
              </w:rPr>
              <w:t>[49]</w:t>
            </w:r>
            <w:r>
              <w:rPr>
                <w:rFonts w:ascii="Segoe UI" w:hAnsi="Segoe UI"/>
                <w:color w:val="1F2937"/>
                <w:sz w:val="17"/>
              </w:rPr>
              <w:t xml:space="preserve">, Ege Üniv. KAEK </w:t>
            </w:r>
            <w:r>
              <w:rPr>
                <w:rFonts w:ascii="Segoe UI" w:hAnsi="Segoe UI"/>
                <w:b/>
                <w:color w:val="1E3C72"/>
                <w:sz w:val="17"/>
              </w:rPr>
              <w:t>[50]</w:t>
            </w:r>
            <w:r>
              <w:rPr>
                <w:rFonts w:ascii="Segoe UI" w:hAnsi="Segoe UI"/>
                <w:color w:val="1F2937"/>
                <w:sz w:val="17"/>
              </w:rPr>
              <w:t xml:space="preserve">, ONAYLARIM &amp; PrimeAPI </w:t>
            </w:r>
            <w:r>
              <w:rPr>
                <w:rFonts w:ascii="Segoe UI" w:hAnsi="Segoe UI"/>
                <w:b/>
                <w:color w:val="1E3C72"/>
                <w:sz w:val="17"/>
              </w:rPr>
              <w:t>[10]</w:t>
            </w:r>
          </w:p>
        </w:tc>
      </w:tr>
      <w:tr>
        <w:tc>
          <w:tcPr>
            <w:tcW w:type="dxa" w:w="2016"/>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Çoklu Kurul Yönetimi (Multi-Tenant)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'Bir Üniversite, Birden Çok Etik Kurul' mimarisi (Tıbbi, Girişimsel Olmayan, Sosyal Bilimler, Hayvan Deneyleri) </w:t>
            </w:r>
            <w:r>
              <w:rPr>
                <w:rFonts w:ascii="Segoe UI" w:hAnsi="Segoe UI"/>
                <w:b/>
                <w:color w:val="1E3C72"/>
                <w:sz w:val="17"/>
              </w:rPr>
              <w:t>[19, 57, 58]</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Her kurulun kendi çağrı takvimi, özel başvuru formu, kontrol listesi, sekreteryası ve üyeleriyle birbirine karışmadan tek sistemde çalışması </w:t>
            </w:r>
            <w:r>
              <w:rPr>
                <w:rFonts w:ascii="Segoe UI" w:hAnsi="Segoe UI"/>
                <w:b/>
                <w:color w:val="1E3C72"/>
                <w:sz w:val="17"/>
              </w:rPr>
              <w:t>[19]</w:t>
            </w:r>
            <w:r>
              <w:rPr>
                <w:rFonts w:ascii="Segoe UI" w:hAnsi="Segoe UI"/>
                <w:color w:val="1F2937"/>
                <w:sz w:val="17"/>
              </w:rPr>
              <w:t>.</w:t>
            </w:r>
          </w:p>
        </w:tc>
        <w:tc>
          <w:tcPr>
            <w:tcW w:type="dxa" w:w="230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Netiket Etik Kurul Otomasyonu </w:t>
            </w:r>
            <w:r>
              <w:rPr>
                <w:rFonts w:ascii="Segoe UI" w:hAnsi="Segoe UI"/>
                <w:b/>
                <w:color w:val="1E3C72"/>
                <w:sz w:val="17"/>
              </w:rPr>
              <w:t>[19]</w:t>
            </w:r>
            <w:r>
              <w:rPr>
                <w:rFonts w:ascii="Segoe UI" w:hAnsi="Segoe UI"/>
                <w:color w:val="1F2937"/>
                <w:sz w:val="17"/>
              </w:rPr>
              <w:t xml:space="preserve">, Assan eBA İş Akışı Sistemleri </w:t>
            </w:r>
            <w:r>
              <w:rPr>
                <w:rFonts w:ascii="Segoe UI" w:hAnsi="Segoe UI"/>
                <w:b/>
                <w:color w:val="1E3C72"/>
                <w:sz w:val="17"/>
              </w:rPr>
              <w:t>[59]</w:t>
            </w:r>
          </w:p>
        </w:tc>
      </w:tr>
      <w:tr>
        <w:tc>
          <w:tcPr>
            <w:tcW w:type="dxa" w:w="2016"/>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Ön İnceleme, Hakemlik ve Karar Üretimi</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Sekreterya triyajı, otomatik protokol numarası atama, izole üye görüş ekranları ve şablondan otomatik karar yazısı üretimi </w:t>
            </w:r>
            <w:r>
              <w:rPr>
                <w:rFonts w:ascii="Segoe UI" w:hAnsi="Segoe UI"/>
                <w:b/>
                <w:color w:val="1E3C72"/>
                <w:sz w:val="17"/>
              </w:rPr>
              <w:t>[19, 60]</w:t>
            </w:r>
            <w:r>
              <w:rPr>
                <w:rFonts w:ascii="Segoe UI" w:hAnsi="Segoe UI"/>
                <w:color w:val="1F2937"/>
                <w:sz w:val="17"/>
              </w:rPr>
              <w:t>.</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Eksik dosyaların kurula ulaşmadan yakalanması; karar yazılarında başlık/protokol no yeniden yazım hatalarının önlenmesi; toplu ZIP çıktısı </w:t>
            </w:r>
            <w:r>
              <w:rPr>
                <w:rFonts w:ascii="Segoe UI" w:hAnsi="Segoe UI"/>
                <w:b/>
                <w:color w:val="1E3C72"/>
                <w:sz w:val="17"/>
              </w:rPr>
              <w:t>[19]</w:t>
            </w:r>
            <w:r>
              <w:rPr>
                <w:rFonts w:ascii="Segoe UI" w:hAnsi="Segoe UI"/>
                <w:color w:val="1F2937"/>
                <w:sz w:val="17"/>
              </w:rPr>
              <w:t>.</w:t>
            </w:r>
          </w:p>
        </w:tc>
        <w:tc>
          <w:tcPr>
            <w:tcW w:type="dxa" w:w="2304"/>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Hacettepe Üniv. </w:t>
            </w:r>
            <w:r>
              <w:rPr>
                <w:rFonts w:ascii="Segoe UI" w:hAnsi="Segoe UI"/>
                <w:b/>
                <w:color w:val="1E3C72"/>
                <w:sz w:val="17"/>
              </w:rPr>
              <w:t>[63]</w:t>
            </w:r>
            <w:r>
              <w:rPr>
                <w:rFonts w:ascii="Segoe UI" w:hAnsi="Segoe UI"/>
                <w:color w:val="1F2937"/>
                <w:sz w:val="17"/>
              </w:rPr>
              <w:t xml:space="preserve">, Sivas Cumhuriyet Üniv. (GÖKAEK) </w:t>
            </w:r>
            <w:r>
              <w:rPr>
                <w:rFonts w:ascii="Segoe UI" w:hAnsi="Segoe UI"/>
                <w:b/>
                <w:color w:val="1E3C72"/>
                <w:sz w:val="17"/>
              </w:rPr>
              <w:t>[61]</w:t>
            </w:r>
            <w:r>
              <w:rPr>
                <w:rFonts w:ascii="Segoe UI" w:hAnsi="Segoe UI"/>
                <w:color w:val="1F2937"/>
                <w:sz w:val="17"/>
              </w:rPr>
              <w:t xml:space="preserve">, Dicle Üniv. </w:t>
            </w:r>
            <w:r>
              <w:rPr>
                <w:rFonts w:ascii="Segoe UI" w:hAnsi="Segoe UI"/>
                <w:b/>
                <w:color w:val="1E3C72"/>
                <w:sz w:val="17"/>
              </w:rPr>
              <w:t>[62]</w:t>
            </w:r>
            <w:r>
              <w:rPr>
                <w:rFonts w:ascii="Segoe UI" w:hAnsi="Segoe UI"/>
                <w:color w:val="1F2937"/>
                <w:sz w:val="17"/>
              </w:rPr>
              <w:t xml:space="preserve">, OMÜ </w:t>
            </w:r>
            <w:r>
              <w:rPr>
                <w:rFonts w:ascii="Segoe UI" w:hAnsi="Segoe UI"/>
                <w:b/>
                <w:color w:val="1E3C72"/>
                <w:sz w:val="17"/>
              </w:rPr>
              <w:t>[52]</w:t>
            </w:r>
            <w:r>
              <w:rPr>
                <w:rFonts w:ascii="Segoe UI" w:hAnsi="Segoe UI"/>
                <w:color w:val="1F2937"/>
                <w:sz w:val="17"/>
              </w:rPr>
              <w:t xml:space="preserve">, Selçuk Üniv. </w:t>
            </w:r>
            <w:r>
              <w:rPr>
                <w:rFonts w:ascii="Segoe UI" w:hAnsi="Segoe UI"/>
                <w:b/>
                <w:color w:val="1E3C72"/>
                <w:sz w:val="17"/>
              </w:rPr>
              <w:t>[64, 66]</w:t>
            </w:r>
          </w:p>
        </w:tc>
      </w:tr>
      <w:tr>
        <w:tc>
          <w:tcPr>
            <w:tcW w:type="dxa" w:w="2016"/>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Merkezi Regülasyon ve Klinik Denetim</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TİTCK (Türkiye İlaç ve Tıbbi Cihaz Kurumu) Klinik Araştırmalar Dairesi Başkanlığı standart formları ve onay süreçleri </w:t>
            </w:r>
            <w:r>
              <w:rPr>
                <w:rFonts w:ascii="Segoe UI" w:hAnsi="Segoe UI"/>
                <w:b/>
                <w:color w:val="1E3C72"/>
                <w:sz w:val="17"/>
              </w:rPr>
              <w:t>[51, 56]</w:t>
            </w:r>
            <w:r>
              <w:rPr>
                <w:rFonts w:ascii="Segoe UI" w:hAnsi="Segoe UI"/>
                <w:color w:val="1F2937"/>
                <w:sz w:val="17"/>
              </w:rPr>
              <w:t>.</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İlaç ve tıbbi cihaz klinik araştırmalarında etik kurul onayı sonrası TİTCK başlama izni ve ücret/form standartlarının sağlanması </w:t>
            </w:r>
            <w:r>
              <w:rPr>
                <w:rFonts w:ascii="Segoe UI" w:hAnsi="Segoe UI"/>
                <w:b/>
                <w:color w:val="1E3C72"/>
                <w:sz w:val="17"/>
              </w:rPr>
              <w:t>[51, 56]</w:t>
            </w:r>
            <w:r>
              <w:rPr>
                <w:rFonts w:ascii="Segoe UI" w:hAnsi="Segoe UI"/>
                <w:color w:val="1F2937"/>
                <w:sz w:val="17"/>
              </w:rPr>
              <w:t>.</w:t>
            </w:r>
          </w:p>
        </w:tc>
        <w:tc>
          <w:tcPr>
            <w:tcW w:type="dxa" w:w="230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TİTCK Onaylı Klinik Araştırmalar Etik Kurulları (KAEK) </w:t>
            </w:r>
            <w:r>
              <w:rPr>
                <w:rFonts w:ascii="Segoe UI" w:hAnsi="Segoe UI"/>
                <w:b/>
                <w:color w:val="1E3C72"/>
                <w:sz w:val="17"/>
              </w:rPr>
              <w:t>[50, 51, 56]</w:t>
            </w:r>
          </w:p>
        </w:tc>
      </w:tr>
    </w:tbl>
    <w:p/>
    <w:p>
      <w:pPr>
        <w:spacing w:line="283" w:lineRule="auto" w:after="120"/>
        <w:ind w:firstLine="360"/>
        <w:jc w:val="both"/>
      </w:pPr>
      <w:r>
        <w:rPr>
          <w:rFonts w:ascii="Segoe UI" w:hAnsi="Segoe UI"/>
          <w:color w:val="1F2937"/>
          <w:sz w:val="20"/>
        </w:rPr>
        <w:t xml:space="preserve">Türkiye'deki üniversitelerin otomasyon mimarileri incelendiğinde, kurumsal yapıların hızla 'Çoklu Kurul (Multi-Tenant) Otomasyon Mimarisi'ne evrildiği görülmektedir </w:t>
      </w:r>
      <w:r>
        <w:rPr>
          <w:rFonts w:ascii="Segoe UI" w:hAnsi="Segoe UI"/>
          <w:b/>
          <w:color w:val="1E3C72"/>
          <w:sz w:val="20"/>
        </w:rPr>
        <w:t>[19, 58]</w:t>
      </w:r>
      <w:r>
        <w:rPr>
          <w:rFonts w:ascii="Segoe UI" w:hAnsi="Segoe UI"/>
          <w:color w:val="1F2937"/>
          <w:sz w:val="20"/>
        </w:rPr>
        <w:t xml:space="preserve">. Bir üniversite bünyesinde Girişimsel Klinik Araştırmalar, Girişimsel Olmayan Araştırmalar, Sosyal ve Beşeri Bilimler ile Hayvan Deneyleri gibi görev alanı, üyeleri ve istediği belgeler birbirinden tamamen farklı birden çok etik kurul bulunmaktadır </w:t>
      </w:r>
      <w:r>
        <w:rPr>
          <w:rFonts w:ascii="Segoe UI" w:hAnsi="Segoe UI"/>
          <w:b/>
          <w:color w:val="1E3C72"/>
          <w:sz w:val="20"/>
        </w:rPr>
        <w:t>[19]</w:t>
      </w:r>
      <w:r>
        <w:rPr>
          <w:rFonts w:ascii="Segoe UI" w:hAnsi="Segoe UI"/>
          <w:color w:val="1F2937"/>
          <w:sz w:val="20"/>
        </w:rPr>
        <w:t xml:space="preserve">. Gelişmiş yerli otomasyon yazılımlarında (örneğin Netiket Etik Kurul Başvuru Otomasyonu) her kurul kendi başvuru çağrısını, son başvuru tarihini, zorunlu belge kontrol listesini ve form şablonunu bağımsız olarak tanımlamakta; sekreterya yalnızca kendisine tanımlanan kurulun dosyalarını görürken, araştırmacı e-Devlet veya kurumsal hesabıyla tek bir ekrandan tüm başvurularını izleyebilmektedir </w:t>
      </w:r>
      <w:r>
        <w:rPr>
          <w:rFonts w:ascii="Segoe UI" w:hAnsi="Segoe UI"/>
          <w:b/>
          <w:color w:val="1E3C72"/>
          <w:sz w:val="20"/>
        </w:rPr>
        <w:t>[19]</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Bu sistemlerin iş akışı mühendisliği açısından getirdiği en önemli yeniliklerden biri, karar yazılarının başvuru verisinden otomatik olarak üretilmesidir </w:t>
      </w:r>
      <w:r>
        <w:rPr>
          <w:rFonts w:ascii="Segoe UI" w:hAnsi="Segoe UI"/>
          <w:b/>
          <w:color w:val="1E3C72"/>
          <w:sz w:val="20"/>
        </w:rPr>
        <w:t>[19]</w:t>
      </w:r>
      <w:r>
        <w:rPr>
          <w:rFonts w:ascii="Segoe UI" w:hAnsi="Segoe UI"/>
          <w:color w:val="1F2937"/>
          <w:sz w:val="20"/>
        </w:rPr>
        <w:t xml:space="preserve">. Geleneksel süreçlerde sekreteryanın araştırma başlığını, yürütücü isimlerini ve protokol numarasını Word şablonlarına elle yeniden yazması (manual re-typing) hem zaman kaybına hem de maddi hatalara yol açarken; modern otomasyonlarda ön incelemeden geçen dosyaya sistem tarafından otomatik protokol numarası verilmekte, üyelerin izlenebilir görüşlerinin ardından nihai karar verildiğinde karar yazısı doğrudan başvurunun veritabanı kayıtlarından çekilerek kurul şablonu üzerinde otomatik oluşturulmakta ve protokol numarası/ad-soyad ile adlandırılmış toplu ZIP dosyaları halinde indirilebilmektedir </w:t>
      </w:r>
      <w:r>
        <w:rPr>
          <w:rFonts w:ascii="Segoe UI" w:hAnsi="Segoe UI"/>
          <w:b/>
          <w:color w:val="1E3C72"/>
          <w:sz w:val="20"/>
        </w:rPr>
        <w:t>[19]</w:t>
      </w:r>
      <w:r>
        <w:rPr>
          <w:rFonts w:ascii="Segoe UI" w:hAnsi="Segoe UI"/>
          <w:color w:val="1F2937"/>
          <w:sz w:val="20"/>
        </w:rPr>
        <w:t xml:space="preserve">. İmzalanan nihai onay belgesi sisteme yüklendiğinde araştırmacı kendi ekranından belgesini anında indirebilmekte; Ankara Sosyal Bilimler Üniversitesi (ASBÜ) örneğinde olduğu gibi Öğrenci Bilgi Sistemi (ÖBS) üzerinden yürütülen tez etik kurul süreçlerinde enstitülere hiçbir fiziksel çıktı gönderilmesine gerek kalmamaktadır </w:t>
      </w:r>
      <w:r>
        <w:rPr>
          <w:rFonts w:ascii="Segoe UI" w:hAnsi="Segoe UI"/>
          <w:b/>
          <w:color w:val="1E3C72"/>
          <w:sz w:val="20"/>
        </w:rPr>
        <w:t>[19, 54]</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Üniversite bazlı uygulamalarda Ege Üniversitesi (KAEK Etik Kurul Başvuru Portalı), Dicle Üniversitesi (etik.otomasyon), Sivas Cumhuriyet Üniversitesi (GÖKAEK), Hacettepe Üniversitesi (kaekdev), İzmir Kâtip Çelebi Üniversitesi (ÜBYS entegre Etik Kurul Bilgi Sistemi), Ondokuz Mayıs Üniversitesi ve Selçuk Üniversitesi gibi kurumlar web tabanlı portallar üzerinden çevrimiçi başvuru, e-imza onayı ve anlık süreç takibi sağlamaktadır </w:t>
      </w:r>
      <w:r>
        <w:rPr>
          <w:rFonts w:ascii="Segoe UI" w:hAnsi="Segoe UI"/>
          <w:b/>
          <w:color w:val="1E3C72"/>
          <w:sz w:val="20"/>
        </w:rPr>
        <w:t>[50, 52, 53, 61, 62, 63, 64, 66]</w:t>
      </w:r>
      <w:r>
        <w:rPr>
          <w:rFonts w:ascii="Segoe UI" w:hAnsi="Segoe UI"/>
          <w:color w:val="1F2937"/>
          <w:sz w:val="20"/>
        </w:rPr>
        <w:t xml:space="preserve">. Bununla birlikte, Hacettepe Üniversitesi örneğinde yıl sonu (Aralık ortası – Ocak başı) sistem kapatma dönemlerinin uygulanması ve Ankara Medipol Üniversitesi örneğinde olduğu gibi 2026 yılı itibarıyla revizyon notları, değişiklik talebi ve sonuç raporu taahhütnamelerinin standart kontrol listelerine bağlanması, Türkiye'deki elektronik sistemlerin de uluslararası literatürdeki dönemsel bakım/gündem kesintileri ve form standartlaşması süreçleriyle birebir aynı operasyonel dinamikleri yaşadığını göstermektedir </w:t>
      </w:r>
      <w:r>
        <w:rPr>
          <w:rFonts w:ascii="Segoe UI" w:hAnsi="Segoe UI"/>
          <w:b/>
          <w:color w:val="1E3C72"/>
          <w:sz w:val="20"/>
        </w:rPr>
        <w:t>[11, 57, 63]</w:t>
      </w:r>
      <w:r>
        <w:rPr>
          <w:rFonts w:ascii="Segoe UI" w:hAnsi="Segoe UI"/>
          <w:color w:val="1F2937"/>
          <w:sz w:val="20"/>
        </w:rPr>
        <w:t xml:space="preserve">. İlaç ve tıbbi cihaz klinik araştırmalarında ise süreç iki aşamalı işlemekte; TİTCK onaylı Klinik Araştırmalar Etik Kurulu'ndan alınan elektronik onayın ardından, TİTCK Tıbbi Cihaz Onaylanmış Kuruluş ve Klinik Araştırmalar Dairesi Başkanlığı'na resmi başlama izni başvurusu yapılması zorunlu tutulmaktadır </w:t>
      </w:r>
      <w:r>
        <w:rPr>
          <w:rFonts w:ascii="Segoe UI" w:hAnsi="Segoe UI"/>
          <w:b/>
          <w:color w:val="1E3C72"/>
          <w:sz w:val="20"/>
        </w:rPr>
        <w:t>[51, 56]</w:t>
      </w:r>
      <w:r>
        <w:rPr>
          <w:rFonts w:ascii="Segoe UI" w:hAnsi="Segoe UI"/>
          <w:color w:val="1F2937"/>
          <w:sz w:val="20"/>
        </w:rPr>
        <w:t>.</w:t>
      </w:r>
    </w:p>
    <w:p>
      <w:pPr>
        <w:pStyle w:val="Heading2"/>
        <w:spacing w:before="160" w:after="80"/>
      </w:pPr>
      <w:r>
        <w:rPr>
          <w:rFonts w:ascii="Segoe UI" w:hAnsi="Segoe UI"/>
          <w:color w:val="0284C7"/>
          <w:sz w:val="24"/>
        </w:rPr>
        <w:t>1.7. Üretken Yapay Zekâ (GenAI), Büyük Dil Modelleri (LLM) ve Karar Destek Mimarilerinin Geleceği</w:t>
      </w:r>
    </w:p>
    <w:p>
      <w:pPr>
        <w:spacing w:line="283" w:lineRule="auto" w:after="120"/>
        <w:ind w:firstLine="360"/>
        <w:jc w:val="both"/>
      </w:pPr>
      <w:r>
        <w:rPr>
          <w:rFonts w:ascii="Segoe UI" w:hAnsi="Segoe UI"/>
          <w:color w:val="1F2937"/>
          <w:sz w:val="20"/>
        </w:rPr>
        <w:t xml:space="preserve">2024–2026 yılları arasındaki güncel literatür, etik kurul otomasyonlarının salt 'iş akışı ve evrak yönlendirme' sistemlerinden, Doğal Dil İşleme (NLP) ve Büyük Dil Modelleri (LLM) ile güçlendirilmiş 'Bilişsel Karar Destek Sistemleri'ne doğru evrildiğini ortaya koymaktadır </w:t>
      </w:r>
      <w:r>
        <w:rPr>
          <w:rFonts w:ascii="Segoe UI" w:hAnsi="Segoe UI"/>
          <w:b/>
          <w:color w:val="1E3C72"/>
          <w:sz w:val="20"/>
        </w:rPr>
        <w:t>[2, 68, 71]</w:t>
      </w:r>
      <w:r>
        <w:rPr>
          <w:rFonts w:ascii="Segoe UI" w:hAnsi="Segoe UI"/>
          <w:color w:val="1F2937"/>
          <w:sz w:val="20"/>
        </w:rPr>
        <w:t xml:space="preserve">. Bu dönüşüm iki farklı cephede eşzamanlı olarak yaşanmaktadır: Araştırmacıların başvuru hazırlarken yapay zekâ kullanması ve etik kurulların başvuruları değerlendirirken yapay zekâdan yararlanması </w:t>
      </w:r>
      <w:r>
        <w:rPr>
          <w:rFonts w:ascii="Segoe UI" w:hAnsi="Segoe UI"/>
          <w:b/>
          <w:color w:val="1E3C72"/>
          <w:sz w:val="20"/>
        </w:rPr>
        <w:t>[38, 69]</w:t>
      </w:r>
      <w:r>
        <w:rPr>
          <w:rFonts w:ascii="Segoe UI" w:hAnsi="Segoe UI"/>
          <w:color w:val="1F2937"/>
          <w:sz w:val="20"/>
        </w:rPr>
        <w:t>.</w:t>
      </w:r>
    </w:p>
    <w:p>
      <w:pPr>
        <w:pStyle w:val="Heading3"/>
        <w:spacing w:before="160" w:after="80"/>
      </w:pPr>
      <w:r>
        <w:rPr>
          <w:rFonts w:ascii="Segoe UI" w:hAnsi="Segoe UI"/>
          <w:color w:val="0F766E"/>
          <w:sz w:val="21"/>
        </w:rPr>
        <w:t>1.7.1. Araştırmacı Cephesinde Yapay Zekâ Kullanımı ve Ampirik Kalite Krizi</w:t>
      </w:r>
    </w:p>
    <w:p>
      <w:pPr>
        <w:spacing w:line="283" w:lineRule="auto" w:after="120"/>
        <w:ind w:firstLine="360"/>
        <w:jc w:val="both"/>
      </w:pPr>
      <w:r>
        <w:rPr>
          <w:rFonts w:ascii="Segoe UI" w:hAnsi="Segoe UI"/>
          <w:color w:val="1F2937"/>
          <w:sz w:val="20"/>
        </w:rPr>
        <w:t xml:space="preserve">Etik kurul başvurusu hazırlamak oldukça detaylı ve zaman alıcı bir süreç olduğundan, araştırmacılar protokol ve onam formu taslakları oluşturmak için giderek artan biçimde üretken yapay zekâ araçlarına yönelmektedir </w:t>
      </w:r>
      <w:r>
        <w:rPr>
          <w:rFonts w:ascii="Segoe UI" w:hAnsi="Segoe UI"/>
          <w:b/>
          <w:color w:val="1E3C72"/>
          <w:sz w:val="20"/>
        </w:rPr>
        <w:t>[38]</w:t>
      </w:r>
      <w:r>
        <w:rPr>
          <w:rFonts w:ascii="Segoe UI" w:hAnsi="Segoe UI"/>
          <w:color w:val="1F2937"/>
          <w:sz w:val="20"/>
        </w:rPr>
        <w:t xml:space="preserve">. Örneğin, literatürde tanıtılan 'IRB Draft Generator' (Godwin vd., 2024) adlı araç; araştırmacıdan yalnızca dört temel girdiyi (kısa araştırma tanımı, hipotez, dahil etme/dışlama kriterleri ve çalışma tasarımı türü) almakta, ardından PubMed üzerinde otomatik bir literatür taraması gerçekleştirerek tam bir taslak protokol belgesi ürettiğini iddia etmektedir </w:t>
      </w:r>
      <w:r>
        <w:rPr>
          <w:rFonts w:ascii="Segoe UI" w:hAnsi="Segoe UI"/>
          <w:b/>
          <w:color w:val="1E3C72"/>
          <w:sz w:val="20"/>
        </w:rPr>
        <w:t>[38]</w:t>
      </w:r>
      <w:r>
        <w:rPr>
          <w:rFonts w:ascii="Segoe UI" w:hAnsi="Segoe UI"/>
          <w:color w:val="1F2937"/>
          <w:sz w:val="20"/>
        </w:rPr>
        <w:t xml:space="preserve">. Benzer şekilde, yapay zekâ tarafından oluşturulan bilgilendirilmiş onam formlarının, insanlar tarafından yazılan onam formlarına kıyasla daha yüksek okunabilirlik (readability) skorlarına sahip olabildiği (Decker vd., 2023) ve SciSpace gibi platformların yapılandırılmış kontrol listesi, muafiyet şablonu ve değişiklik formları üreten ajanlar sunduğu bildirilmektedir </w:t>
      </w:r>
      <w:r>
        <w:rPr>
          <w:rFonts w:ascii="Segoe UI" w:hAnsi="Segoe UI"/>
          <w:b/>
          <w:color w:val="1E3C72"/>
          <w:sz w:val="20"/>
        </w:rPr>
        <w:t>[22, 38]</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Ancak Kwon ve çalışma arkadaşları (2024/2025) tarafından yürütülen sistematik bir inceleme, araştırmacıların kullandığı mevcut yapay zekâ araçlarının güvenilirliği konusunda çarpıcı bir gerçeği ortaya çıkarmıştır </w:t>
      </w:r>
      <w:r>
        <w:rPr>
          <w:rFonts w:ascii="Segoe UI" w:hAnsi="Segoe UI"/>
          <w:b/>
          <w:color w:val="1E3C72"/>
          <w:sz w:val="20"/>
        </w:rPr>
        <w:t>[38, 69]</w:t>
      </w:r>
      <w:r>
        <w:rPr>
          <w:rFonts w:ascii="Segoe UI" w:hAnsi="Segoe UI"/>
          <w:color w:val="1F2937"/>
          <w:sz w:val="20"/>
        </w:rPr>
        <w:t xml:space="preserve">. ChatGPT üzerine inşa edilmiş ve araştırmacıların etik kurul başvurusu hazırlamasına yardımcı olduğunu iddia eden 42 farklı uygulamanın (IRB Guide, IRB Advisor vb.) ampirik olarak değerlendirildiği bu çalışmada; uygulamalardan yalnızca 4'ünün (%9,5) spesifik olarak etik kurul amaçları doğrultusunda eğitildiği (üstelik bunlardan birinin yalnızca tek bir onaylı onam formuyla eğitildiği) ve yalnızca 5 uygulamanın (%11,9) bir etik kurulun rolünü, incelediği araştırma türlerini ve standart bilgilendirilmiş onam gerekliliklerini doğru biçimde tanımlayabildiği saptanmıştır </w:t>
      </w:r>
      <w:r>
        <w:rPr>
          <w:rFonts w:ascii="Segoe UI" w:hAnsi="Segoe UI"/>
          <w:b/>
          <w:color w:val="1E3C72"/>
          <w:sz w:val="20"/>
        </w:rPr>
        <w:t>[38]</w:t>
      </w:r>
      <w:r>
        <w:rPr>
          <w:rFonts w:ascii="Segoe UI" w:hAnsi="Segoe UI"/>
          <w:color w:val="1F2937"/>
          <w:sz w:val="20"/>
        </w:rPr>
        <w:t xml:space="preserve">. Bu bulgu, araştırmacıların doğrulanmamış genel amaçlı yapay zekâ araçlarına güvenerek hazırladıkları başvuruların, regülasyon gerekliliklerini karşılayacak doğru ve yeterli bilgiyi içermediğini ve etik kurulların iş yükünü azaltmak yerine niteliksiz başvuru yığınlarıyla artırdığını kanıtlamaktadır </w:t>
      </w:r>
      <w:r>
        <w:rPr>
          <w:rFonts w:ascii="Segoe UI" w:hAnsi="Segoe UI"/>
          <w:b/>
          <w:color w:val="1E3C72"/>
          <w:sz w:val="20"/>
        </w:rPr>
        <w:t>[38]</w:t>
      </w:r>
      <w:r>
        <w:rPr>
          <w:rFonts w:ascii="Segoe UI" w:hAnsi="Segoe UI"/>
          <w:color w:val="1F2937"/>
          <w:sz w:val="20"/>
        </w:rPr>
        <w:t>.</w:t>
      </w:r>
    </w:p>
    <w:p>
      <w:pPr>
        <w:pStyle w:val="Heading3"/>
        <w:spacing w:before="160" w:after="80"/>
      </w:pPr>
      <w:r>
        <w:rPr>
          <w:rFonts w:ascii="Segoe UI" w:hAnsi="Segoe UI"/>
          <w:color w:val="0F766E"/>
          <w:sz w:val="21"/>
        </w:rPr>
        <w:t>1.7.2. Kurul Cephesinde 'Chat-IRB' ve Kurumsal Hafıza (RAG) Mimarisi</w:t>
      </w:r>
    </w:p>
    <w:p>
      <w:pPr>
        <w:spacing w:line="283" w:lineRule="auto" w:after="120"/>
        <w:ind w:firstLine="360"/>
        <w:jc w:val="both"/>
      </w:pPr>
      <w:r>
        <w:rPr>
          <w:rFonts w:ascii="Segoe UI" w:hAnsi="Segoe UI"/>
          <w:color w:val="1F2937"/>
          <w:sz w:val="20"/>
        </w:rPr>
        <w:t xml:space="preserve">Etik kurulların kendi değerlendirme süreçlerinde karşılaştığı en temel yapısal sorunlardan biri, 'kurumsal hafıza eksikliği' (lack of institutional memory) olarak tanımlanmaktadır </w:t>
      </w:r>
      <w:r>
        <w:rPr>
          <w:rFonts w:ascii="Segoe UI" w:hAnsi="Segoe UI"/>
          <w:b/>
          <w:color w:val="1E3C72"/>
          <w:sz w:val="20"/>
        </w:rPr>
        <w:t>[2, 68]</w:t>
      </w:r>
      <w:r>
        <w:rPr>
          <w:rFonts w:ascii="Segoe UI" w:hAnsi="Segoe UI"/>
          <w:color w:val="1F2937"/>
          <w:sz w:val="20"/>
        </w:rPr>
        <w:t xml:space="preserve">. Çoğu e-IRB sisteminde geçmişte incelenen protokollere, kurulun araştırmacılara yönelttiği sorulara ve tartışma/karar gerekçelerine dair aranabilir (searchable) bir anlamsal veritabanı bulunmamaktadır </w:t>
      </w:r>
      <w:r>
        <w:rPr>
          <w:rFonts w:ascii="Segoe UI" w:hAnsi="Segoe UI"/>
          <w:b/>
          <w:color w:val="1E3C72"/>
          <w:sz w:val="20"/>
        </w:rPr>
        <w:t>[2]</w:t>
      </w:r>
      <w:r>
        <w:rPr>
          <w:rFonts w:ascii="Segoe UI" w:hAnsi="Segoe UI"/>
          <w:color w:val="1F2937"/>
          <w:sz w:val="20"/>
        </w:rPr>
        <w:t xml:space="preserve">. Bu eksiklik, benzer protokoller karşısında kurul kararlarının tutarsızlaşmasına (variability) ve inceleme sürelerinin uzamasına neden olmaktadır </w:t>
      </w:r>
      <w:r>
        <w:rPr>
          <w:rFonts w:ascii="Segoe UI" w:hAnsi="Segoe UI"/>
          <w:b/>
          <w:color w:val="1E3C72"/>
          <w:sz w:val="20"/>
        </w:rPr>
        <w:t>[2, 70]</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Mann ve çalışma arkadaşları (2025, Journal of Medical Ethics), bu sorunu çözmek üzere 'Chat-IRB' adını verdikleri, kuruma özgü (application-specific) büyük dil modeli mimarisini önermiştir </w:t>
      </w:r>
      <w:r>
        <w:rPr>
          <w:rFonts w:ascii="Segoe UI" w:hAnsi="Segoe UI"/>
          <w:b/>
          <w:color w:val="1E3C72"/>
          <w:sz w:val="20"/>
        </w:rPr>
        <w:t>[2, 68, 71]</w:t>
      </w:r>
      <w:r>
        <w:rPr>
          <w:rFonts w:ascii="Segoe UI" w:hAnsi="Segoe UI"/>
          <w:color w:val="1F2937"/>
          <w:sz w:val="20"/>
        </w:rPr>
        <w:t xml:space="preserve">. Genel amaçlı, ticari ('off-the-shelf') dil modelleri etik kurul değerlendirmesi için uygun değildir; çünkü etik kurullar doğası gereği yereldir ve her kurumun kendine özgü misyonu, risk toleransı, yerel yasal düzenlemeleri ve hedef popülasyon hassasiyetleri bulunmaktadır </w:t>
      </w:r>
      <w:r>
        <w:rPr>
          <w:rFonts w:ascii="Segoe UI" w:hAnsi="Segoe UI"/>
          <w:b/>
          <w:color w:val="1E3C72"/>
          <w:sz w:val="20"/>
        </w:rPr>
        <w:t>[2]</w:t>
      </w:r>
      <w:r>
        <w:rPr>
          <w:rFonts w:ascii="Segoe UI" w:hAnsi="Segoe UI"/>
          <w:color w:val="1F2937"/>
          <w:sz w:val="20"/>
        </w:rPr>
        <w:t xml:space="preserve">. Buna karşın, Erişim Destekli Üretim (Retrieval-Augmented Generation - RAG) ve ince ayar (fine-tuning) teknikleriyle; ilgili kurumun geçmiş etik kurul sorguları, komite tartışma tutanakları, geçmiş kararları, kurumsal standart çalışma prosedürleri (SOP) ve yerel mevzuatı üzerinde eğitilen bir 'Chat-IRB' sistemi çok boyutlu karar destek işlevleri üstlenebilmektedir </w:t>
      </w:r>
      <w:r>
        <w:rPr>
          <w:rFonts w:ascii="Segoe UI" w:hAnsi="Segoe UI"/>
          <w:b/>
          <w:color w:val="1E3C72"/>
          <w:sz w:val="20"/>
        </w:rPr>
        <w:t>[2, 68]</w:t>
      </w:r>
      <w:r>
        <w:rPr>
          <w:rFonts w:ascii="Segoe UI" w:hAnsi="Segoe UI"/>
          <w:color w:val="1F2937"/>
          <w:sz w:val="20"/>
        </w:rPr>
        <w:t xml:space="preserve">. Bu mimari ilk aşamada ön tarama ve eksiklik kontrolü (pre-submission checks) gerçekleştirerek başvurunun tamlığını ve iç tutarlılığını kurul toplantısı öncesinde denetlemekte ve sekreterya yükünü hafifletmektedir </w:t>
      </w:r>
      <w:r>
        <w:rPr>
          <w:rFonts w:ascii="Segoe UI" w:hAnsi="Segoe UI"/>
          <w:b/>
          <w:color w:val="1E3C72"/>
          <w:sz w:val="20"/>
        </w:rPr>
        <w:t>[2]</w:t>
      </w:r>
      <w:r>
        <w:rPr>
          <w:rFonts w:ascii="Segoe UI" w:hAnsi="Segoe UI"/>
          <w:color w:val="1F2937"/>
          <w:sz w:val="20"/>
        </w:rPr>
        <w:t xml:space="preserve">. İkinci aşamada protokoldeki olası etik ihlalleri tespit ederek etik risk bayraklaması (ethical red flags) yapmakta, hakemler için ön değerlendirme raporu üretmekte ve yeni başvurunun geçmiş kurul kararlarıyla tutarlılığını test etmektedir </w:t>
      </w:r>
      <w:r>
        <w:rPr>
          <w:rFonts w:ascii="Segoe UI" w:hAnsi="Segoe UI"/>
          <w:b/>
          <w:color w:val="1E3C72"/>
          <w:sz w:val="20"/>
        </w:rPr>
        <w:t>[2]</w:t>
      </w:r>
      <w:r>
        <w:rPr>
          <w:rFonts w:ascii="Segoe UI" w:hAnsi="Segoe UI"/>
          <w:color w:val="1F2937"/>
          <w:sz w:val="20"/>
        </w:rPr>
        <w:t xml:space="preserve">. Üçüncü olarak ise özellikle sosyal ve davranışsal çalışmalarda bağlama duyarlı risk azaltma önerileri geliştirebilmekte; örneğin katılımcı mahremiyetini korumak amacıyla araştırmacıyla buluşulacak mekanların katılımcıyı ifşa etmeyecek şekilde seçilmesini veya araştırmacı iletişim bilgilerinin katılımcının yakınları tarafından 'araştırma kaynaklı' olduğu anlaşılmayacak bir formatta sunulmasını önerebilmektedir </w:t>
      </w:r>
      <w:r>
        <w:rPr>
          <w:rFonts w:ascii="Segoe UI" w:hAnsi="Segoe UI"/>
          <w:b/>
          <w:color w:val="1E3C72"/>
          <w:sz w:val="20"/>
        </w:rPr>
        <w:t>[68]</w:t>
      </w:r>
      <w:r>
        <w:rPr>
          <w:rFonts w:ascii="Segoe UI" w:hAnsi="Segoe UI"/>
          <w:color w:val="1F2937"/>
          <w:sz w:val="20"/>
        </w:rPr>
        <w:t>.</w:t>
      </w:r>
    </w:p>
    <w:p>
      <w:pPr>
        <w:spacing w:before="120" w:after="40"/>
        <w:jc w:val="center"/>
      </w:pPr>
      <w:r>
        <w:drawing>
          <wp:inline xmlns:a="http://schemas.openxmlformats.org/drawingml/2006/main" xmlns:pic="http://schemas.openxmlformats.org/drawingml/2006/picture">
            <wp:extent cx="5303520" cy="7513633"/>
            <wp:docPr id="3" name="Picture 3"/>
            <wp:cNvGraphicFramePr>
              <a:graphicFrameLocks noChangeAspect="1"/>
            </wp:cNvGraphicFramePr>
            <a:graphic>
              <a:graphicData uri="http://schemas.openxmlformats.org/drawingml/2006/picture">
                <pic:pic>
                  <pic:nvPicPr>
                    <pic:cNvPr id="0" name="lit_fig_03_chat_irb.png"/>
                    <pic:cNvPicPr/>
                  </pic:nvPicPr>
                  <pic:blipFill>
                    <a:blip r:embed="rId11"/>
                    <a:stretch>
                      <a:fillRect/>
                    </a:stretch>
                  </pic:blipFill>
                  <pic:spPr>
                    <a:xfrm>
                      <a:off x="0" y="0"/>
                      <a:ext cx="5303520" cy="7513633"/>
                    </a:xfrm>
                    <a:prstGeom prst="rect"/>
                  </pic:spPr>
                </pic:pic>
              </a:graphicData>
            </a:graphic>
          </wp:inline>
        </w:drawing>
      </w:r>
    </w:p>
    <w:p>
      <w:pPr>
        <w:spacing w:after="160"/>
        <w:jc w:val="center"/>
      </w:pPr>
      <w:r>
        <w:rPr>
          <w:rFonts w:ascii="Segoe UI" w:hAnsi="Segoe UI"/>
          <w:b/>
          <w:color w:val="0F172A"/>
          <w:sz w:val="18"/>
        </w:rPr>
        <w:t xml:space="preserve">Şekil 3: RAG Tabanlı Chat-IRB Karar Destek Katmanı ve İnsan Döngüde (Human-in-the-Loop) Kurul Kararı Mimarisi </w:t>
      </w:r>
      <w:r>
        <w:rPr>
          <w:rFonts w:ascii="Segoe UI" w:hAnsi="Segoe UI"/>
          <w:b/>
          <w:color w:val="1E3C72"/>
          <w:sz w:val="18"/>
        </w:rPr>
        <w:t>[2, 10, 19, 68]</w:t>
      </w:r>
    </w:p>
    <w:p>
      <w:pPr>
        <w:pStyle w:val="Heading3"/>
        <w:spacing w:before="160" w:after="80"/>
      </w:pPr>
      <w:r>
        <w:rPr>
          <w:rFonts w:ascii="Segoe UI" w:hAnsi="Segoe UI"/>
          <w:color w:val="0F766E"/>
          <w:sz w:val="21"/>
        </w:rPr>
        <w:t>1.7.3. Otomasyon Önyargısı, Değerlendirme Metrikleri ve Yapay Zekâ Yönetişimi</w:t>
      </w:r>
    </w:p>
    <w:p>
      <w:pPr>
        <w:spacing w:line="283" w:lineRule="auto" w:after="120"/>
        <w:ind w:firstLine="360"/>
        <w:jc w:val="both"/>
      </w:pPr>
      <w:r>
        <w:rPr>
          <w:rFonts w:ascii="Segoe UI" w:hAnsi="Segoe UI"/>
          <w:color w:val="1F2937"/>
          <w:sz w:val="20"/>
        </w:rPr>
        <w:t xml:space="preserve">Yapay zekânın etik kurul otomasyonlarına entegrasyonu, beraberinde ciddi algoritmik ve etik riskler getirmektedir </w:t>
      </w:r>
      <w:r>
        <w:rPr>
          <w:rFonts w:ascii="Segoe UI" w:hAnsi="Segoe UI"/>
          <w:b/>
          <w:color w:val="1E3C72"/>
          <w:sz w:val="20"/>
        </w:rPr>
        <w:t>[38, 72]</w:t>
      </w:r>
      <w:r>
        <w:rPr>
          <w:rFonts w:ascii="Segoe UI" w:hAnsi="Segoe UI"/>
          <w:color w:val="1F2937"/>
          <w:sz w:val="20"/>
        </w:rPr>
        <w:t xml:space="preserve">. Literatürde (2021–2024 yılları arasında 19 tıbbi uzmanlık alanındaki 84 LLM çalışmasını QUADAS-AI aracıyla inceleyen sistematik derlemeler dahil) genel NLP görevlerinde %90'ın üzerinde doğruluk bildirilirken, karmaşık tanı ve karar destek süreçlerinde doğruluğun %3'e kadar düşebildiği, halüsinasyon, şeffaflık eksikliği (opacity) ve güvenilirlik tutarsızlıklarının devam ettiği gösterilmiştir </w:t>
      </w:r>
      <w:r>
        <w:rPr>
          <w:rFonts w:ascii="Segoe UI" w:hAnsi="Segoe UI"/>
          <w:b/>
          <w:color w:val="1E3C72"/>
          <w:sz w:val="20"/>
        </w:rPr>
        <w:t>[38, 67]</w:t>
      </w:r>
      <w:r>
        <w:rPr>
          <w:rFonts w:ascii="Segoe UI" w:hAnsi="Segoe UI"/>
          <w:color w:val="1F2937"/>
          <w:sz w:val="20"/>
        </w:rPr>
        <w:t xml:space="preserve">. Ayrıca karar vericilerin algoritmik çıktılara eleştirel süzgeç olmaksızın güvenmesi anlamına gelen 'otomasyon önyargısı' (automation bias), ayrımcılık yapmama ve şeffaflık ilkelerini tehdit etmektedir </w:t>
      </w:r>
      <w:r>
        <w:rPr>
          <w:rFonts w:ascii="Segoe UI" w:hAnsi="Segoe UI"/>
          <w:b/>
          <w:color w:val="1E3C72"/>
          <w:sz w:val="20"/>
        </w:rPr>
        <w:t>[38]</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Teknik açıdan, e-IRB sistemlerine entegre edilecek dil modellerinin performansını değerlendirirken BLEU, ROUGE, METEOR gibi yüzeysel kelime örtüşmesi metrikleri veya BERTScore ve perplexity gibi anlamsal benzerlik ölçümleri (Tier 1 otomatik metrikler) tek başına kullanılamaz </w:t>
      </w:r>
      <w:r>
        <w:rPr>
          <w:rFonts w:ascii="Segoe UI" w:hAnsi="Segoe UI"/>
          <w:b/>
          <w:color w:val="1E3C72"/>
          <w:sz w:val="20"/>
        </w:rPr>
        <w:t>[74]</w:t>
      </w:r>
      <w:r>
        <w:rPr>
          <w:rFonts w:ascii="Segoe UI" w:hAnsi="Segoe UI"/>
          <w:color w:val="1F2937"/>
          <w:sz w:val="20"/>
        </w:rPr>
        <w:t xml:space="preserve">. Çünkü bu metrikler 'yapı uyumsuzluğu' (construct mismatch) yaşamakta; bir metnin olgusal doğruluğunu, akıl yürütme kalitesini veya etik kabul edilebilirliğini ölçememektedir </w:t>
      </w:r>
      <w:r>
        <w:rPr>
          <w:rFonts w:ascii="Segoe UI" w:hAnsi="Segoe UI"/>
          <w:b/>
          <w:color w:val="1E3C72"/>
          <w:sz w:val="20"/>
        </w:rPr>
        <w:t>[74]</w:t>
      </w:r>
      <w:r>
        <w:rPr>
          <w:rFonts w:ascii="Segoe UI" w:hAnsi="Segoe UI"/>
          <w:color w:val="1F2937"/>
          <w:sz w:val="20"/>
        </w:rPr>
        <w:t xml:space="preserve">. Dolayısıyla etik kurul yapay zekâ sistemlerinin doğrulamasında alan uzmanlarının yürüttüğü çok boyutlu rubrik protokolleri, ikili karşılaştırmalar (pairwise comparisons) ve muhafazakâr karar eşikleri zorunlu tutulmaktadır </w:t>
      </w:r>
      <w:r>
        <w:rPr>
          <w:rFonts w:ascii="Segoe UI" w:hAnsi="Segoe UI"/>
          <w:b/>
          <w:color w:val="1E3C72"/>
          <w:sz w:val="20"/>
        </w:rPr>
        <w:t>[74]</w:t>
      </w:r>
      <w:r>
        <w:rPr>
          <w:rFonts w:ascii="Segoe UI" w:hAnsi="Segoe UI"/>
          <w:color w:val="1F2937"/>
          <w:sz w:val="20"/>
        </w:rPr>
        <w:t xml:space="preserve">. En temel yönetişim ilkesi olarak literatürde tam bir mutabakat vardır: Etik planlama ve denetim, yapay zekâya devredilemeyecek temel insani değer yargıları (value judgments) içerdiğinden, nihai karar verici her zaman insan (Human-in-the-Loop) olmalıdır </w:t>
      </w:r>
      <w:r>
        <w:rPr>
          <w:rFonts w:ascii="Segoe UI" w:hAnsi="Segoe UI"/>
          <w:b/>
          <w:color w:val="1E3C72"/>
          <w:sz w:val="20"/>
        </w:rPr>
        <w:t>[2, 68]</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Son olarak, etik kurul otomasyonları yalnızca kendi iç süreçlerinde değil, onaylanan araştırmalarda araştırmacıların yapay zekâ kullanımını denetlemek üzere de yeni modüller geliştirmektedir </w:t>
      </w:r>
      <w:r>
        <w:rPr>
          <w:rFonts w:ascii="Segoe UI" w:hAnsi="Segoe UI"/>
          <w:b/>
          <w:color w:val="1E3C72"/>
          <w:sz w:val="20"/>
        </w:rPr>
        <w:t>[28, 73]</w:t>
      </w:r>
      <w:r>
        <w:rPr>
          <w:rFonts w:ascii="Segoe UI" w:hAnsi="Segoe UI"/>
          <w:color w:val="1F2937"/>
          <w:sz w:val="20"/>
        </w:rPr>
        <w:t xml:space="preserve">. Lehigh Üniversitesi kılavuzları ve güncel regülasyon analizleri (Garcia), etik kurul onayı aldıktan sonra veri analizinde veya araştırma süreçlerinde üretken yapay zekâ kullanmak isteyen araştırmacıların sıkı bir yönetişim çerçevesine tabi olduğunu ortaya koymaktadır </w:t>
      </w:r>
      <w:r>
        <w:rPr>
          <w:rFonts w:ascii="Segoe UI" w:hAnsi="Segoe UI"/>
          <w:b/>
          <w:color w:val="1E3C72"/>
          <w:sz w:val="20"/>
        </w:rPr>
        <w:t>[28, 73]</w:t>
      </w:r>
      <w:r>
        <w:rPr>
          <w:rFonts w:ascii="Segoe UI" w:hAnsi="Segoe UI"/>
          <w:color w:val="1F2937"/>
          <w:sz w:val="20"/>
        </w:rPr>
        <w:t xml:space="preserve">. Bu çerçeve uyarınca, insan öznelerden toplanan verilerin yapay zekâ modellerine aktarılmadan önce nasıl kimliksizleştirileceği (de-identification), olası yapay zekâ halüsinasyonlarının ve algoritmik önyargıların nasıl doğrulanacağı ve araştırma yöntemlerinin tekrarlanabilirliğinin (replicability) nasıl korunacağı e-IRB başvuru materyallerinde açıkça tanımlanmalıdır </w:t>
      </w:r>
      <w:r>
        <w:rPr>
          <w:rFonts w:ascii="Segoe UI" w:hAnsi="Segoe UI"/>
          <w:b/>
          <w:color w:val="1E3C72"/>
          <w:sz w:val="20"/>
        </w:rPr>
        <w:t>[73]</w:t>
      </w:r>
      <w:r>
        <w:rPr>
          <w:rFonts w:ascii="Segoe UI" w:hAnsi="Segoe UI"/>
          <w:color w:val="1F2937"/>
          <w:sz w:val="20"/>
        </w:rPr>
        <w:t xml:space="preserve">. Veri güvenliği ihlallerini önlemek adına araştırmacılar gizli protokolleri veya katılımcı verilerini yetkisiz açık yapay zekâ servislerine yüklememeli, yalnızca kurumun ilgili veri sınıfı (örneğin Sınıf II veri güvenliği) için sözleşme imzaladığı kurumsal yapay zekâ ortamlarını kullanmalıdır </w:t>
      </w:r>
      <w:r>
        <w:rPr>
          <w:rFonts w:ascii="Segoe UI" w:hAnsi="Segoe UI"/>
          <w:b/>
          <w:color w:val="1E3C72"/>
          <w:sz w:val="20"/>
        </w:rPr>
        <w:t>[28, 73]</w:t>
      </w:r>
      <w:r>
        <w:rPr>
          <w:rFonts w:ascii="Segoe UI" w:hAnsi="Segoe UI"/>
          <w:color w:val="1F2937"/>
          <w:sz w:val="20"/>
        </w:rPr>
        <w:t xml:space="preserve">. Halihazırda etik kurul onayı almış bir çalışmaya sonradan yapay zekâ araçlarının dahil edilmesi veya kullanılan yapay zekâ servis sağlayıcısının değiştirilmesi; veri işleme, saklama ve mahremiyet koşullarını farklılaştırarak çalışmanın etik risk dağılımını değiştirebileceğinden, araştırmacılar mevcut onayın bu değişiklikleri otomatik olarak kapsadığını varsaymamalı ve e-IRB sistemi üzerinden resmi protokol değişiklik (amendment) başvurusu gerçekleştirerek kurumsal onay almalıdır </w:t>
      </w:r>
      <w:r>
        <w:rPr>
          <w:rFonts w:ascii="Segoe UI" w:hAnsi="Segoe UI"/>
          <w:b/>
          <w:color w:val="1E3C72"/>
          <w:sz w:val="20"/>
        </w:rPr>
        <w:t>[28, 73]</w:t>
      </w:r>
      <w:r>
        <w:rPr>
          <w:rFonts w:ascii="Segoe UI" w:hAnsi="Segoe UI"/>
          <w:color w:val="1F2937"/>
          <w:sz w:val="20"/>
        </w:rPr>
        <w:t>.</w:t>
      </w:r>
    </w:p>
    <w:p>
      <w:pPr>
        <w:pStyle w:val="Heading2"/>
        <w:spacing w:before="160" w:after="80"/>
      </w:pPr>
      <w:r>
        <w:rPr>
          <w:rFonts w:ascii="Segoe UI" w:hAnsi="Segoe UI"/>
          <w:color w:val="0284C7"/>
          <w:sz w:val="24"/>
        </w:rPr>
        <w:t>1.8. Sentez ve Stratejik Çıkarımlar</w:t>
      </w:r>
    </w:p>
    <w:p>
      <w:pPr>
        <w:spacing w:line="283" w:lineRule="auto" w:after="120"/>
        <w:ind w:firstLine="360"/>
        <w:jc w:val="both"/>
      </w:pPr>
      <w:r>
        <w:rPr>
          <w:rFonts w:ascii="Segoe UI" w:hAnsi="Segoe UI"/>
          <w:color w:val="1F2937"/>
          <w:sz w:val="20"/>
        </w:rPr>
        <w:t xml:space="preserve">Etik kurul otomasyonları üzerine yapılan bu kapsamlı literatür taraması, dijitalleşmenin araştırma etiği yönetişiminde basit bir bürokratik modernizasyon olmadığını, bilimsel üretimin hızını, kalitesini ve çok merkezli işbirliği kapasitesini belirleyen stratejik bir altyapı unsuru olduğunu ortaya koymaktadır </w:t>
      </w:r>
      <w:r>
        <w:rPr>
          <w:rFonts w:ascii="Segoe UI" w:hAnsi="Segoe UI"/>
          <w:b/>
          <w:color w:val="1E3C72"/>
          <w:sz w:val="20"/>
        </w:rPr>
        <w:t>[1, 6]</w:t>
      </w:r>
      <w:r>
        <w:rPr>
          <w:rFonts w:ascii="Segoe UI" w:hAnsi="Segoe UI"/>
          <w:color w:val="1F2937"/>
          <w:sz w:val="20"/>
        </w:rPr>
        <w:t xml:space="preserve">. Literatürdeki ampirik bulgular bütüncül olarak değerlendirildiğinde, bir e-IRB sisteminin onay sürelerini (TAT) gerçek anlamda kısaltabilmesi için yazılıma yalnızca form yükleme özelliği kazandırılmasının yeterli olmadığı, yazılım mimarisinin süreç mühendisliği ve etkin ön triyaj mekanizmalarıyla bütünleştirilmesi gerektiği anlaşılmaktadır </w:t>
      </w:r>
      <w:r>
        <w:rPr>
          <w:rFonts w:ascii="Segoe UI" w:hAnsi="Segoe UI"/>
          <w:b/>
          <w:color w:val="1E3C72"/>
          <w:sz w:val="20"/>
        </w:rPr>
        <w:t>[17, 32]</w:t>
      </w:r>
      <w:r>
        <w:rPr>
          <w:rFonts w:ascii="Segoe UI" w:hAnsi="Segoe UI"/>
          <w:color w:val="1F2937"/>
          <w:sz w:val="20"/>
        </w:rPr>
        <w:t xml:space="preserve">. Başvuruların ortalama üçte birlik süreyi eksiklikler ve hatalar nedeniyle bizzat araştırma ekibinde bekleyerek geçirdiği gerçeği göz önüne alınarak </w:t>
      </w:r>
      <w:r>
        <w:rPr>
          <w:rFonts w:ascii="Segoe UI" w:hAnsi="Segoe UI"/>
          <w:b/>
          <w:color w:val="1E3C72"/>
          <w:sz w:val="20"/>
        </w:rPr>
        <w:t>[34]</w:t>
      </w:r>
      <w:r>
        <w:rPr>
          <w:rFonts w:ascii="Segoe UI" w:hAnsi="Segoe UI"/>
          <w:color w:val="1F2937"/>
          <w:sz w:val="20"/>
        </w:rPr>
        <w:t xml:space="preserve">; otomasyon sistemleri zorunlu alan kontrolleri, aşamalı akıllı formlar, sekreterya ön triyajı (Not Ready for Review filtresi) ve kıdemsiz araştırmacılara yönelik yerleşik metodolojik/etik rehberlik modülleriyle donatılmalıdır </w:t>
      </w:r>
      <w:r>
        <w:rPr>
          <w:rFonts w:ascii="Segoe UI" w:hAnsi="Segoe UI"/>
          <w:b/>
          <w:color w:val="1E3C72"/>
          <w:sz w:val="20"/>
        </w:rPr>
        <w:t>[3, 34]</w:t>
      </w:r>
      <w:r>
        <w:rPr>
          <w:rFonts w:ascii="Segoe UI" w:hAnsi="Segoe UI"/>
          <w:color w:val="1F2937"/>
          <w:sz w:val="20"/>
        </w:rPr>
        <w:t xml:space="preserve">. Ayrıca yüksek öncelikli veya karmaşık projelerde asenkron yazışma döngülerini ortadan kaldıran 'Gerçek Zamanlı Etik Kurul' (Real-Time IRB) gibi senkronize değerlendirme modelleri otomasyon iş akışlarına entegre edilerek değerlendirme varyansı kontrol altına alınmalıdır </w:t>
      </w:r>
      <w:r>
        <w:rPr>
          <w:rFonts w:ascii="Segoe UI" w:hAnsi="Segoe UI"/>
          <w:b/>
          <w:color w:val="1E3C72"/>
          <w:sz w:val="20"/>
        </w:rPr>
        <w:t>[25, 32]</w:t>
      </w:r>
      <w:r>
        <w:rPr>
          <w:rFonts w:ascii="Segoe UI" w:hAnsi="Segoe UI"/>
          <w:color w:val="1F2937"/>
          <w:sz w:val="20"/>
        </w:rPr>
        <w:t>.</w:t>
      </w:r>
    </w:p>
    <w:p>
      <w:pPr>
        <w:spacing w:line="283" w:lineRule="auto" w:after="120"/>
        <w:ind w:firstLine="360"/>
        <w:jc w:val="both"/>
      </w:pPr>
      <w:r>
        <w:rPr>
          <w:rFonts w:ascii="Segoe UI" w:hAnsi="Segoe UI"/>
          <w:color w:val="1F2937"/>
          <w:sz w:val="20"/>
        </w:rPr>
        <w:t xml:space="preserve">Kurumlar arası ölçekte ise en kritik stratejik öncelik, ulusal ve uluslararası birlikte çalışabilirlik (interoperability) standartlarının inşa edilmesidir </w:t>
      </w:r>
      <w:r>
        <w:rPr>
          <w:rFonts w:ascii="Segoe UI" w:hAnsi="Segoe UI"/>
          <w:b/>
          <w:color w:val="1E3C72"/>
          <w:sz w:val="20"/>
        </w:rPr>
        <w:t>[1, 27]</w:t>
      </w:r>
      <w:r>
        <w:rPr>
          <w:rFonts w:ascii="Segoe UI" w:hAnsi="Segoe UI"/>
          <w:color w:val="1F2937"/>
          <w:sz w:val="20"/>
        </w:rPr>
        <w:t xml:space="preserve">. Türkiye'de TİTCK, YÖKSİS, EBYS ve üniversite otomasyonları arasında; uluslararası düzeyde ise SMART IRB ve IREx benzeri ağlar üzerinden standartlaştırılmış bir 'Etik Kurul Veri Değişim Protokolü' oluşturulmalı, ayrıca toplum katılımlı araştırmalarda (CBPR/CEnR) kurum dışı paydaşların güvenlik duvarlarına takılmadan sisteme ortak araştırmacı olarak dahil olabileceği esnek yetkilendirme katmanları kurulmalıdır </w:t>
      </w:r>
      <w:r>
        <w:rPr>
          <w:rFonts w:ascii="Segoe UI" w:hAnsi="Segoe UI"/>
          <w:b/>
          <w:color w:val="1E3C72"/>
          <w:sz w:val="20"/>
        </w:rPr>
        <w:t>[1, 10, 19, 42, 51]</w:t>
      </w:r>
      <w:r>
        <w:rPr>
          <w:rFonts w:ascii="Segoe UI" w:hAnsi="Segoe UI"/>
          <w:color w:val="1F2937"/>
          <w:sz w:val="20"/>
        </w:rPr>
        <w:t xml:space="preserve">. Gelecek nesil etik kurul otomasyonlarının bilişsel omurgasını ise kurumsal hafıza destekli ve insan odaklı yapay zekâ (Human-in-the-Loop RAG) mimarileri oluşturacaktır </w:t>
      </w:r>
      <w:r>
        <w:rPr>
          <w:rFonts w:ascii="Segoe UI" w:hAnsi="Segoe UI"/>
          <w:b/>
          <w:color w:val="1E3C72"/>
          <w:sz w:val="20"/>
        </w:rPr>
        <w:t>[2, 68]</w:t>
      </w:r>
      <w:r>
        <w:rPr>
          <w:rFonts w:ascii="Segoe UI" w:hAnsi="Segoe UI"/>
          <w:color w:val="1F2937"/>
          <w:sz w:val="20"/>
        </w:rPr>
        <w:t xml:space="preserve">. Etik kurul değerlendirme cephesinde, geçmiş kararları, kurul tartışmalarını ve yerel mevzuatı indeksleyen RAG tabanlı 'Chat-IRB' modelleri kurumsal hafızayı güçlendirmek, karar tutarlılığını sağlamak ve ön incelemeyi hızlandırmak için devreye alınmalı; ancak otomasyon önyargısını önlemek ve etik değer yargılarını korumak adına nihai muhakeme ve onay yetkisi mutlak surette insan kurul üyelerinde tutulmalıdır </w:t>
      </w:r>
      <w:r>
        <w:rPr>
          <w:rFonts w:ascii="Segoe UI" w:hAnsi="Segoe UI"/>
          <w:b/>
          <w:color w:val="1E3C72"/>
          <w:sz w:val="20"/>
        </w:rPr>
        <w:t>[2, 38, 68]</w:t>
      </w:r>
      <w:r>
        <w:rPr>
          <w:rFonts w:ascii="Segoe UI" w:hAnsi="Segoe UI"/>
          <w:color w:val="1F2937"/>
          <w:sz w:val="20"/>
        </w:rPr>
        <w:t>.</w:t>
      </w:r>
    </w:p>
    <w:p>
      <w:r>
        <w:br w:type="page"/>
      </w:r>
    </w:p>
    <w:p>
      <w:pPr>
        <w:pStyle w:val="Heading1"/>
        <w:spacing w:before="240" w:after="80"/>
      </w:pPr>
      <w:r>
        <w:rPr>
          <w:rFonts w:ascii="Segoe UI" w:hAnsi="Segoe UI"/>
          <w:color w:val="1E3C72"/>
          <w:sz w:val="29"/>
        </w:rPr>
        <w:t>2. Geliştirilen Çok Katmanlı Modüler Sistem Mimarisi ve Literatür Karşılıkları</w:t>
      </w:r>
    </w:p>
    <w:p>
      <w:pPr>
        <w:spacing w:line="283" w:lineRule="auto" w:after="120"/>
        <w:ind w:firstLine="360"/>
        <w:jc w:val="both"/>
      </w:pPr>
      <w:r>
        <w:rPr>
          <w:rFonts w:ascii="Segoe UI" w:hAnsi="Segoe UI"/>
          <w:color w:val="1F2937"/>
          <w:sz w:val="20"/>
        </w:rPr>
        <w:t xml:space="preserve">Bölüm 1'deki literatür taramasında ortaya konulan mimari gereksinimler — özellikle erken dönem sistemlerin (ARIA, CRIMSON) yaşadığı ölçeklenebilirlik ve entegrasyon darboğazları </w:t>
      </w:r>
      <w:r>
        <w:rPr>
          <w:rFonts w:ascii="Segoe UI" w:hAnsi="Segoe UI"/>
          <w:b/>
          <w:color w:val="1E3C72"/>
          <w:sz w:val="20"/>
        </w:rPr>
        <w:t>[12]</w:t>
      </w:r>
      <w:r>
        <w:rPr>
          <w:rFonts w:ascii="Segoe UI" w:hAnsi="Segoe UI"/>
          <w:color w:val="1F2937"/>
          <w:sz w:val="20"/>
        </w:rPr>
        <w:t xml:space="preserve">, CUREC ve INSPIR II sistemlerinde incelenen dönüş süresi (TAT) ve kullanılabilirlik (UX) kriterleri </w:t>
      </w:r>
      <w:r>
        <w:rPr>
          <w:rFonts w:ascii="Segoe UI" w:hAnsi="Segoe UI"/>
          <w:b/>
          <w:color w:val="1E3C72"/>
          <w:sz w:val="20"/>
        </w:rPr>
        <w:t>[9, 16]</w:t>
      </w:r>
      <w:r>
        <w:rPr>
          <w:rFonts w:ascii="Segoe UI" w:hAnsi="Segoe UI"/>
          <w:color w:val="1F2937"/>
          <w:sz w:val="20"/>
        </w:rPr>
        <w:t xml:space="preserve">, 21 CFR Part 11 ile 5070 sayılı Elektronik İmza Kanunu kapsamındaki değiştirilemez denetim izi (audit trail) ve kriptografik belge doğrulama zorunluluğu </w:t>
      </w:r>
      <w:r>
        <w:rPr>
          <w:rFonts w:ascii="Segoe UI" w:hAnsi="Segoe UI"/>
          <w:b/>
          <w:color w:val="1E3C72"/>
          <w:sz w:val="20"/>
        </w:rPr>
        <w:t>[10, 14, 17]</w:t>
      </w:r>
      <w:r>
        <w:rPr>
          <w:rFonts w:ascii="Segoe UI" w:hAnsi="Segoe UI"/>
          <w:color w:val="1F2937"/>
          <w:sz w:val="20"/>
        </w:rPr>
        <w:t xml:space="preserve"> ve Netiket/ÜBYS örneklerindeki şablondan otomatik karar belgesi üretimi </w:t>
      </w:r>
      <w:r>
        <w:rPr>
          <w:rFonts w:ascii="Segoe UI" w:hAnsi="Segoe UI"/>
          <w:b/>
          <w:color w:val="1E3C72"/>
          <w:sz w:val="20"/>
        </w:rPr>
        <w:t>[19]</w:t>
      </w:r>
      <w:r>
        <w:rPr>
          <w:rFonts w:ascii="Segoe UI" w:hAnsi="Segoe UI"/>
          <w:color w:val="1F2937"/>
          <w:sz w:val="20"/>
        </w:rPr>
        <w:t xml:space="preserve"> — doğrudan referans alınarak bu projede 4 bağımsız modülden oluşan uçtan uca bir Etik Kurul Otomasyonu geliştirilmiştir. Şekil 4'te geliştirilen sistemin çok katmanlı mimarisi gösterilmiştir.</w:t>
      </w:r>
    </w:p>
    <w:p>
      <w:pPr>
        <w:spacing w:before="120" w:after="40"/>
        <w:jc w:val="center"/>
      </w:pPr>
      <w:r>
        <w:drawing>
          <wp:inline xmlns:a="http://schemas.openxmlformats.org/drawingml/2006/main" xmlns:pic="http://schemas.openxmlformats.org/drawingml/2006/picture">
            <wp:extent cx="5760720" cy="2765146"/>
            <wp:docPr id="4" name="Picture 4"/>
            <wp:cNvGraphicFramePr>
              <a:graphicFrameLocks noChangeAspect="1"/>
            </wp:cNvGraphicFramePr>
            <a:graphic>
              <a:graphicData uri="http://schemas.openxmlformats.org/drawingml/2006/picture">
                <pic:pic>
                  <pic:nvPicPr>
                    <pic:cNvPr id="0" name="chart_01_architecture.png"/>
                    <pic:cNvPicPr/>
                  </pic:nvPicPr>
                  <pic:blipFill>
                    <a:blip r:embed="rId12"/>
                    <a:stretch>
                      <a:fillRect/>
                    </a:stretch>
                  </pic:blipFill>
                  <pic:spPr>
                    <a:xfrm>
                      <a:off x="0" y="0"/>
                      <a:ext cx="5760720" cy="2765146"/>
                    </a:xfrm>
                    <a:prstGeom prst="rect"/>
                  </pic:spPr>
                </pic:pic>
              </a:graphicData>
            </a:graphic>
          </wp:inline>
        </w:drawing>
      </w:r>
    </w:p>
    <w:p>
      <w:pPr>
        <w:spacing w:after="160"/>
        <w:jc w:val="center"/>
      </w:pPr>
      <w:r>
        <w:rPr>
          <w:rFonts w:ascii="Segoe UI" w:hAnsi="Segoe UI"/>
          <w:b/>
          <w:color w:val="0F172A"/>
          <w:sz w:val="18"/>
        </w:rPr>
        <w:t>Şekil 4: Geliştirilen Etik Kurul Otomasyonu Çok Katmanlı Modüler Mimari ve Veri Akış Şeması</w:t>
      </w:r>
    </w:p>
    <w:p>
      <w:pPr>
        <w:spacing w:before="160" w:after="80"/>
        <w:jc w:val="left"/>
      </w:pPr>
      <w:r>
        <w:rPr>
          <w:rFonts w:ascii="Segoe UI" w:hAnsi="Segoe UI"/>
          <w:b/>
          <w:color w:val="1E3C72"/>
          <w:sz w:val="19"/>
        </w:rPr>
        <w:t>Tablo 4: Geliştirilen Yazılım Modüllerinin Teknoloji Yığını ve Akademik Literatürdeki Karşılıkları</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fill="1E3C72"/>
            <w:tcMar>
              <w:top w:w="100" w:type="dxa"/>
              <w:bottom w:w="100" w:type="dxa"/>
              <w:left w:w="120" w:type="dxa"/>
              <w:right w:w="120" w:type="dxa"/>
            </w:tcMar>
            <w:vAlign w:val="center"/>
          </w:tcPr>
          <w:p>
            <w:pPr>
              <w:jc w:val="left"/>
            </w:pPr>
            <w:r/>
            <w:r>
              <w:rPr>
                <w:rFonts w:ascii="Segoe UI" w:hAnsi="Segoe UI"/>
                <w:b/>
                <w:color w:val="FFFFFF"/>
                <w:sz w:val="18"/>
              </w:rPr>
              <w:t>Modül Kodu ve Adı</w:t>
            </w:r>
          </w:p>
        </w:tc>
        <w:tc>
          <w:tcPr>
            <w:tcW w:type="dxa" w:w="2160"/>
            <w:shd w:fill="1E3C72"/>
            <w:tcMar>
              <w:top w:w="100" w:type="dxa"/>
              <w:bottom w:w="100" w:type="dxa"/>
              <w:left w:w="120" w:type="dxa"/>
              <w:right w:w="120" w:type="dxa"/>
            </w:tcMar>
            <w:vAlign w:val="center"/>
          </w:tcPr>
          <w:p>
            <w:pPr>
              <w:jc w:val="left"/>
            </w:pPr>
            <w:r/>
            <w:r>
              <w:rPr>
                <w:rFonts w:ascii="Segoe UI" w:hAnsi="Segoe UI"/>
                <w:b/>
                <w:color w:val="FFFFFF"/>
                <w:sz w:val="18"/>
              </w:rPr>
              <w:t>Teknoloji Yığını &amp; Veritabanı</w:t>
            </w:r>
          </w:p>
        </w:tc>
        <w:tc>
          <w:tcPr>
            <w:tcW w:type="dxa" w:w="2736"/>
            <w:shd w:fill="1E3C72"/>
            <w:tcMar>
              <w:top w:w="100" w:type="dxa"/>
              <w:bottom w:w="100" w:type="dxa"/>
              <w:left w:w="120" w:type="dxa"/>
              <w:right w:w="120" w:type="dxa"/>
            </w:tcMar>
            <w:vAlign w:val="center"/>
          </w:tcPr>
          <w:p>
            <w:pPr>
              <w:jc w:val="left"/>
            </w:pPr>
            <w:r/>
            <w:r>
              <w:rPr>
                <w:rFonts w:ascii="Segoe UI" w:hAnsi="Segoe UI"/>
                <w:b/>
                <w:color w:val="FFFFFF"/>
                <w:sz w:val="18"/>
              </w:rPr>
              <w:t>Temel İşlevler</w:t>
            </w:r>
          </w:p>
        </w:tc>
        <w:tc>
          <w:tcPr>
            <w:tcW w:type="dxa" w:w="2592"/>
            <w:shd w:fill="1E3C72"/>
            <w:tcMar>
              <w:top w:w="100" w:type="dxa"/>
              <w:bottom w:w="100" w:type="dxa"/>
              <w:left w:w="120" w:type="dxa"/>
              <w:right w:w="120" w:type="dxa"/>
            </w:tcMar>
            <w:vAlign w:val="center"/>
          </w:tcPr>
          <w:p>
            <w:pPr>
              <w:jc w:val="left"/>
            </w:pPr>
            <w:r/>
            <w:r>
              <w:rPr>
                <w:rFonts w:ascii="Segoe UI" w:hAnsi="Segoe UI"/>
                <w:b/>
                <w:color w:val="FFFFFF"/>
                <w:sz w:val="18"/>
              </w:rPr>
              <w:t>Karşıladığı Literatür Gereksinimi</w:t>
            </w:r>
          </w:p>
        </w:tc>
      </w:tr>
      <w:tr>
        <w:tc>
          <w:tcPr>
            <w:tcW w:type="dxa" w:w="2016"/>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1-BasvuruModulu_DotNet</w:t>
            </w:r>
          </w:p>
        </w:tc>
        <w:tc>
          <w:tcPr>
            <w:tcW w:type="dxa" w:w="216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C# / ASP.NET Core 9.0</w:t>
              <w:br/>
              <w:t>EF Core + MSSQL / SQLite</w:t>
              <w:br/>
              <w:t>(Port: 5001)</w:t>
            </w:r>
          </w:p>
        </w:tc>
        <w:tc>
          <w:tcPr>
            <w:tcW w:type="dxa" w:w="2736"/>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Araştırmacı profil kaydı, yapılandırılmış dijital başvuru formu, PDF evrak yükleme, SHA-256 dosya özeti ve otomatik protokol numarası (ETIK-YYYY-XXXXX) üretimi.</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Kağıtsız başvuru (Paperless REIMS) </w:t>
            </w:r>
            <w:r>
              <w:rPr>
                <w:rFonts w:ascii="Segoe UI" w:hAnsi="Segoe UI"/>
                <w:b/>
                <w:color w:val="1E3C72"/>
                <w:sz w:val="17"/>
              </w:rPr>
              <w:t>[5, 6]</w:t>
            </w:r>
            <w:r>
              <w:rPr>
                <w:rFonts w:ascii="Segoe UI" w:hAnsi="Segoe UI"/>
                <w:color w:val="1F2937"/>
                <w:sz w:val="17"/>
              </w:rPr>
              <w:t xml:space="preserve">, aşamalı form doğrulaması </w:t>
            </w:r>
            <w:r>
              <w:rPr>
                <w:rFonts w:ascii="Segoe UI" w:hAnsi="Segoe UI"/>
                <w:b/>
                <w:color w:val="1E3C72"/>
                <w:sz w:val="17"/>
              </w:rPr>
              <w:t>[3]</w:t>
            </w:r>
            <w:r>
              <w:rPr>
                <w:rFonts w:ascii="Segoe UI" w:hAnsi="Segoe UI"/>
                <w:color w:val="1F2937"/>
                <w:sz w:val="17"/>
              </w:rPr>
              <w:t xml:space="preserve"> ve ön triyaj (NRR) eksiklik kontrolü </w:t>
            </w:r>
            <w:r>
              <w:rPr>
                <w:rFonts w:ascii="Segoe UI" w:hAnsi="Segoe UI"/>
                <w:b/>
                <w:color w:val="1E3C72"/>
                <w:sz w:val="17"/>
              </w:rPr>
              <w:t>[34]</w:t>
            </w:r>
            <w:r>
              <w:rPr>
                <w:rFonts w:ascii="Segoe UI" w:hAnsi="Segoe UI"/>
                <w:color w:val="1F2937"/>
                <w:sz w:val="17"/>
              </w:rPr>
              <w:t>.</w:t>
            </w:r>
          </w:p>
        </w:tc>
      </w:tr>
      <w:tr>
        <w:tc>
          <w:tcPr>
            <w:tcW w:type="dxa" w:w="2016"/>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2-DegerlendirmeModulu_PHP</w:t>
            </w:r>
          </w:p>
        </w:tc>
        <w:tc>
          <w:tcPr>
            <w:tcW w:type="dxa" w:w="216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PHP 8.3 (PDO) MVC</w:t>
              <w:br/>
              <w:t>MySQL 8.x / SQLite</w:t>
              <w:br/>
              <w:t>(Port: 5002)</w:t>
            </w:r>
          </w:p>
        </w:tc>
        <w:tc>
          <w:tcPr>
            <w:tcW w:type="dxa" w:w="2736"/>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Kurul üyelerinin uzmanlık ve aktif yük takibi, Akıllı Otomatik Dosya Dağıtım Algoritması, 3 kriterli (Metodoloji, Onam, Risk) 1-5 ölçeğinde puanlama.</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Hakem önyargısının önlenmesi (IRB-RAT) </w:t>
            </w:r>
            <w:r>
              <w:rPr>
                <w:rFonts w:ascii="Segoe UI" w:hAnsi="Segoe UI"/>
                <w:b/>
                <w:color w:val="1E3C72"/>
                <w:sz w:val="17"/>
              </w:rPr>
              <w:t>[37]</w:t>
            </w:r>
            <w:r>
              <w:rPr>
                <w:rFonts w:ascii="Segoe UI" w:hAnsi="Segoe UI"/>
                <w:color w:val="1F2937"/>
                <w:sz w:val="17"/>
              </w:rPr>
              <w:t xml:space="preserve">, uzmanlık uyumu ve otomatik iş yükü dengelemesi </w:t>
            </w:r>
            <w:r>
              <w:rPr>
                <w:rFonts w:ascii="Segoe UI" w:hAnsi="Segoe UI"/>
                <w:b/>
                <w:color w:val="1E3C72"/>
                <w:sz w:val="17"/>
              </w:rPr>
              <w:t>[9, 20]</w:t>
            </w:r>
            <w:r>
              <w:rPr>
                <w:rFonts w:ascii="Segoe UI" w:hAnsi="Segoe UI"/>
                <w:color w:val="1F2937"/>
                <w:sz w:val="17"/>
              </w:rPr>
              <w:t>.</w:t>
            </w:r>
          </w:p>
        </w:tc>
      </w:tr>
      <w:tr>
        <w:tc>
          <w:tcPr>
            <w:tcW w:type="dxa" w:w="2016"/>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3-KararVeBelgeModulu_Node</w:t>
            </w:r>
          </w:p>
        </w:tc>
        <w:tc>
          <w:tcPr>
            <w:tcW w:type="dxa" w:w="216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Node.js + Express.js</w:t>
              <w:br/>
              <w:t>MongoDB + QRCode</w:t>
              <w:br/>
              <w:t>(Port: 5003)</w:t>
            </w:r>
          </w:p>
        </w:tc>
        <w:tc>
          <w:tcPr>
            <w:tcW w:type="dxa" w:w="2736"/>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Nihai kurul kararı (Onay / Revizyon / Ret), revizyon takibi, 24 haneli SHA-256 doğrulama kodu, Base64 QR kodlu resmi HTML/PDF karar belgesi ve Audit Log.</w:t>
            </w:r>
          </w:p>
        </w:tc>
        <w:tc>
          <w:tcPr>
            <w:tcW w:type="dxa" w:w="2592"/>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21 CFR Part 11 denetim izi </w:t>
            </w:r>
            <w:r>
              <w:rPr>
                <w:rFonts w:ascii="Segoe UI" w:hAnsi="Segoe UI"/>
                <w:b/>
                <w:color w:val="1E3C72"/>
                <w:sz w:val="17"/>
              </w:rPr>
              <w:t>[14, 17]</w:t>
            </w:r>
            <w:r>
              <w:rPr>
                <w:rFonts w:ascii="Segoe UI" w:hAnsi="Segoe UI"/>
                <w:color w:val="1F2937"/>
                <w:sz w:val="17"/>
              </w:rPr>
              <w:t xml:space="preserve">, 5070 sayılı e-İmza uyumu </w:t>
            </w:r>
            <w:r>
              <w:rPr>
                <w:rFonts w:ascii="Segoe UI" w:hAnsi="Segoe UI"/>
                <w:b/>
                <w:color w:val="1E3C72"/>
                <w:sz w:val="17"/>
              </w:rPr>
              <w:t>[10]</w:t>
            </w:r>
            <w:r>
              <w:rPr>
                <w:rFonts w:ascii="Segoe UI" w:hAnsi="Segoe UI"/>
                <w:color w:val="1F2937"/>
                <w:sz w:val="17"/>
              </w:rPr>
              <w:t xml:space="preserve"> ve şablondan otomatik sertifika üretimi (%92,3 memnuniyet) </w:t>
            </w:r>
            <w:r>
              <w:rPr>
                <w:rFonts w:ascii="Segoe UI" w:hAnsi="Segoe UI"/>
                <w:b/>
                <w:color w:val="1E3C72"/>
                <w:sz w:val="17"/>
              </w:rPr>
              <w:t>[9, 19]</w:t>
            </w:r>
            <w:r>
              <w:rPr>
                <w:rFonts w:ascii="Segoe UI" w:hAnsi="Segoe UI"/>
                <w:color w:val="1F2937"/>
                <w:sz w:val="17"/>
              </w:rPr>
              <w:t>.</w:t>
            </w:r>
          </w:p>
        </w:tc>
      </w:tr>
      <w:tr>
        <w:tc>
          <w:tcPr>
            <w:tcW w:type="dxa" w:w="2016"/>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4-MasaustuUygulamasi</w:t>
            </w:r>
          </w:p>
        </w:tc>
        <w:tc>
          <w:tcPr>
            <w:tcW w:type="dxa" w:w="216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Electron 34 + Node.js</w:t>
              <w:br/>
              <w:t>Windows 11 Fluent UI</w:t>
              <w:br/>
              <w:t>NSIS Setup &amp; Portable .exe</w:t>
            </w:r>
          </w:p>
        </w:tc>
        <w:tc>
          <w:tcPr>
            <w:tcW w:type="dxa" w:w="2736"/>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3 arka uç modülünün tüm yeteneklerini yerel kalıcı veritabanı ve otomatik durum senkronizasyonu (reconcileState) ile tek masaüstü uygulamasında birleştirir.</w:t>
            </w:r>
          </w:p>
        </w:tc>
        <w:tc>
          <w:tcPr>
            <w:tcW w:type="dxa" w:w="2592"/>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BİT/sunucu kesintilerine karşı yerel çalışma direnci </w:t>
            </w:r>
            <w:r>
              <w:rPr>
                <w:rFonts w:ascii="Segoe UI" w:hAnsi="Segoe UI"/>
                <w:b/>
                <w:color w:val="1E3C72"/>
                <w:sz w:val="17"/>
              </w:rPr>
              <w:t>[6, 13]</w:t>
            </w:r>
            <w:r>
              <w:rPr>
                <w:rFonts w:ascii="Segoe UI" w:hAnsi="Segoe UI"/>
                <w:color w:val="1F2937"/>
                <w:sz w:val="17"/>
              </w:rPr>
              <w:t xml:space="preserve"> ve yüksek arayüz kullanılabilirliği (SUS / ISO 25010) </w:t>
            </w:r>
            <w:r>
              <w:rPr>
                <w:rFonts w:ascii="Segoe UI" w:hAnsi="Segoe UI"/>
                <w:b/>
                <w:color w:val="1E3C72"/>
                <w:sz w:val="17"/>
              </w:rPr>
              <w:t>[16, 29]</w:t>
            </w:r>
            <w:r>
              <w:rPr>
                <w:rFonts w:ascii="Segoe UI" w:hAnsi="Segoe UI"/>
                <w:color w:val="1F2937"/>
                <w:sz w:val="17"/>
              </w:rPr>
              <w:t>.</w:t>
            </w:r>
          </w:p>
        </w:tc>
      </w:tr>
    </w:tbl>
    <w:p/>
    <w:p>
      <w:pPr>
        <w:pStyle w:val="Heading1"/>
        <w:spacing w:before="240" w:after="80"/>
      </w:pPr>
      <w:r>
        <w:rPr>
          <w:rFonts w:ascii="Segoe UI" w:hAnsi="Segoe UI"/>
          <w:color w:val="1E3C72"/>
          <w:sz w:val="29"/>
        </w:rPr>
        <w:t>3. Modül Bazlı Mühendislik Tasarımı, Algoritmalar ve Veri Modelleri</w:t>
      </w:r>
    </w:p>
    <w:p>
      <w:pPr>
        <w:pStyle w:val="Heading2"/>
        <w:spacing w:before="160" w:after="80"/>
      </w:pPr>
      <w:r>
        <w:rPr>
          <w:rFonts w:ascii="Segoe UI" w:hAnsi="Segoe UI"/>
          <w:color w:val="0284C7"/>
          <w:sz w:val="24"/>
        </w:rPr>
        <w:t>3.1. Modül 1: Başvuru ve Evrak İletim Modülü (ASP.NET Core 9 + MSSQL)</w:t>
      </w:r>
    </w:p>
    <w:p>
      <w:pPr>
        <w:spacing w:line="283" w:lineRule="auto" w:after="120"/>
        <w:ind w:firstLine="360"/>
        <w:jc w:val="both"/>
      </w:pPr>
      <w:r>
        <w:rPr>
          <w:rFonts w:ascii="Segoe UI" w:hAnsi="Segoe UI"/>
          <w:color w:val="1F2937"/>
          <w:sz w:val="20"/>
        </w:rPr>
        <w:t xml:space="preserve">Modül 1, araştırmacıların akademik araştırma, tez veya projelerini sisteme kaydettiği giriş katmanıdır </w:t>
      </w:r>
      <w:r>
        <w:rPr>
          <w:rFonts w:ascii="Segoe UI" w:hAnsi="Segoe UI"/>
          <w:b/>
          <w:color w:val="1E3C72"/>
          <w:sz w:val="20"/>
        </w:rPr>
        <w:t>[3, 19]</w:t>
      </w:r>
      <w:r>
        <w:rPr>
          <w:rFonts w:ascii="Segoe UI" w:hAnsi="Segoe UI"/>
          <w:color w:val="1F2937"/>
          <w:sz w:val="20"/>
        </w:rPr>
        <w:t>. Entity Framework Core üzerinde Researchers, Applications ve ApplicationDocuments varlıkları modellenmiş; kurumsal ortamda MSSQL Server üzerinden, yerel geliştirme ve test ortamlarında ise otomatik SQLite yedekleme (fallback) mekanizmasıyla kesintisiz çalışacak şekilde yapılandırılmıştır.</w:t>
      </w:r>
    </w:p>
    <w:p>
      <w:pPr>
        <w:spacing w:before="160" w:after="80"/>
        <w:jc w:val="left"/>
      </w:pPr>
      <w:r>
        <w:rPr>
          <w:rFonts w:ascii="Segoe UI" w:hAnsi="Segoe UI"/>
          <w:b/>
          <w:color w:val="1E3C72"/>
          <w:sz w:val="19"/>
        </w:rPr>
        <w:t>Tablo 5: Modül 1 (ASP.NET Core 9 + MSSQL) REST API Uç Noktaları ve İşlevleri</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fill="1E3C72"/>
            <w:tcMar>
              <w:top w:w="100" w:type="dxa"/>
              <w:bottom w:w="100" w:type="dxa"/>
              <w:left w:w="120" w:type="dxa"/>
              <w:right w:w="120" w:type="dxa"/>
            </w:tcMar>
            <w:vAlign w:val="center"/>
          </w:tcPr>
          <w:p>
            <w:pPr>
              <w:jc w:val="left"/>
            </w:pPr>
            <w:r/>
            <w:r>
              <w:rPr>
                <w:rFonts w:ascii="Segoe UI" w:hAnsi="Segoe UI"/>
                <w:b/>
                <w:color w:val="FFFFFF"/>
                <w:sz w:val="18"/>
              </w:rPr>
              <w:t>HTTP Metodu &amp; Endpoint</w:t>
            </w:r>
          </w:p>
        </w:tc>
        <w:tc>
          <w:tcPr>
            <w:tcW w:type="dxa" w:w="2880"/>
            <w:shd w:fill="1E3C72"/>
            <w:tcMar>
              <w:top w:w="100" w:type="dxa"/>
              <w:bottom w:w="100" w:type="dxa"/>
              <w:left w:w="120" w:type="dxa"/>
              <w:right w:w="120" w:type="dxa"/>
            </w:tcMar>
            <w:vAlign w:val="center"/>
          </w:tcPr>
          <w:p>
            <w:pPr>
              <w:jc w:val="left"/>
            </w:pPr>
            <w:r/>
            <w:r>
              <w:rPr>
                <w:rFonts w:ascii="Segoe UI" w:hAnsi="Segoe UI"/>
                <w:b/>
                <w:color w:val="FFFFFF"/>
                <w:sz w:val="18"/>
              </w:rPr>
              <w:t>Sınıf / Metot</w:t>
            </w:r>
          </w:p>
        </w:tc>
        <w:tc>
          <w:tcPr>
            <w:tcW w:type="dxa" w:w="3600"/>
            <w:shd w:fill="1E3C72"/>
            <w:tcMar>
              <w:top w:w="100" w:type="dxa"/>
              <w:bottom w:w="100" w:type="dxa"/>
              <w:left w:w="120" w:type="dxa"/>
              <w:right w:w="120" w:type="dxa"/>
            </w:tcMar>
            <w:vAlign w:val="center"/>
          </w:tcPr>
          <w:p>
            <w:pPr>
              <w:jc w:val="left"/>
            </w:pPr>
            <w:r/>
            <w:r>
              <w:rPr>
                <w:rFonts w:ascii="Segoe UI" w:hAnsi="Segoe UI"/>
                <w:b/>
                <w:color w:val="FFFFFF"/>
                <w:sz w:val="18"/>
              </w:rPr>
              <w:t>Teknik Açıklama</w:t>
            </w:r>
          </w:p>
        </w:tc>
      </w:tr>
      <w:tr>
        <w:tc>
          <w:tcPr>
            <w:tcW w:type="dxa" w:w="3024"/>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GET /api/applications</w:t>
            </w:r>
          </w:p>
        </w:tc>
        <w:tc>
          <w:tcPr>
            <w:tcW w:type="dxa" w:w="288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ApplicationsController.GetAll()</w:t>
            </w:r>
          </w:p>
        </w:tc>
        <w:tc>
          <w:tcPr>
            <w:tcW w:type="dxa" w:w="360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Tüm başvuruları araştırmacı ve yüklenen belgeleriyle birlikte listeler.</w:t>
            </w:r>
          </w:p>
        </w:tc>
      </w:tr>
      <w:tr>
        <w:tc>
          <w:tcPr>
            <w:tcW w:type="dxa" w:w="3024"/>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GET /api/applications/{protocol}</w:t>
            </w:r>
          </w:p>
        </w:tc>
        <w:tc>
          <w:tcPr>
            <w:tcW w:type="dxa" w:w="288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ApplicationsController.GetByProtocol()</w:t>
            </w:r>
          </w:p>
        </w:tc>
        <w:tc>
          <w:tcPr>
            <w:tcW w:type="dxa" w:w="360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Protokol numarasına (ETIK-2026-XXXXX) göre tekil başvuru detayını döner.</w:t>
            </w:r>
          </w:p>
        </w:tc>
      </w:tr>
      <w:tr>
        <w:tc>
          <w:tcPr>
            <w:tcW w:type="dxa" w:w="3024"/>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POST /api/applications</w:t>
            </w:r>
          </w:p>
        </w:tc>
        <w:tc>
          <w:tcPr>
            <w:tcW w:type="dxa" w:w="288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ApplicationService.CreateApplicationAsync()</w:t>
            </w:r>
          </w:p>
        </w:tc>
        <w:tc>
          <w:tcPr>
            <w:tcW w:type="dxa" w:w="360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Yeni başvuru oluşturur, benzersiz protokol numarası üretir ve veritabanına kaydeder.</w:t>
            </w:r>
          </w:p>
        </w:tc>
      </w:tr>
      <w:tr>
        <w:tc>
          <w:tcPr>
            <w:tcW w:type="dxa" w:w="3024"/>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POST /api/applications/{id}/documents</w:t>
            </w:r>
          </w:p>
        </w:tc>
        <w:tc>
          <w:tcPr>
            <w:tcW w:type="dxa" w:w="288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ApplicationService.UploadDocumentAsync()</w:t>
            </w:r>
          </w:p>
        </w:tc>
        <w:tc>
          <w:tcPr>
            <w:tcW w:type="dxa" w:w="360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Başvuruya ait PDF evraklarını SHA-256 dosya özeti (hash) ile kaydeder </w:t>
            </w:r>
            <w:r>
              <w:rPr>
                <w:rFonts w:ascii="Segoe UI" w:hAnsi="Segoe UI"/>
                <w:b/>
                <w:color w:val="1E3C72"/>
                <w:sz w:val="17"/>
              </w:rPr>
              <w:t>[14, 17]</w:t>
            </w:r>
            <w:r>
              <w:rPr>
                <w:rFonts w:ascii="Segoe UI" w:hAnsi="Segoe UI"/>
                <w:color w:val="1F2937"/>
                <w:sz w:val="17"/>
              </w:rPr>
              <w:t>.</w:t>
            </w:r>
          </w:p>
        </w:tc>
      </w:tr>
      <w:tr>
        <w:tc>
          <w:tcPr>
            <w:tcW w:type="dxa" w:w="3024"/>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PATCH /api/applications/{protocol}/status</w:t>
            </w:r>
          </w:p>
        </w:tc>
        <w:tc>
          <w:tcPr>
            <w:tcW w:type="dxa" w:w="288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ApplicationService.UpdateStatusAsync()</w:t>
            </w:r>
          </w:p>
        </w:tc>
        <w:tc>
          <w:tcPr>
            <w:tcW w:type="dxa" w:w="360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Değerlendirme ve karar modüllerinden gelen bildirimle başvuru durumunu günceller.</w:t>
            </w:r>
          </w:p>
        </w:tc>
      </w:tr>
    </w:tbl>
    <w:p/>
    <w:p>
      <w:pPr>
        <w:pStyle w:val="Heading2"/>
        <w:spacing w:before="160" w:after="80"/>
      </w:pPr>
      <w:r>
        <w:rPr>
          <w:rFonts w:ascii="Segoe UI" w:hAnsi="Segoe UI"/>
          <w:color w:val="0284C7"/>
          <w:sz w:val="24"/>
        </w:rPr>
        <w:t>3.2. Modül 2: Akıllı Otomatik Dosya Atama ve Değerlendirme Modülü (PHP 8.3 + MySQL)</w:t>
      </w:r>
    </w:p>
    <w:p>
      <w:pPr>
        <w:spacing w:line="283" w:lineRule="auto" w:after="120"/>
        <w:ind w:firstLine="360"/>
        <w:jc w:val="both"/>
      </w:pPr>
      <w:r>
        <w:rPr>
          <w:rFonts w:ascii="Segoe UI" w:hAnsi="Segoe UI"/>
          <w:color w:val="1F2937"/>
          <w:sz w:val="20"/>
        </w:rPr>
        <w:t xml:space="preserve">Literatürde IRB-RAT çalışmalarıyla vurgulanan 'hakem önyargısının önlenmesi ve uzmanlık uyumu' </w:t>
      </w:r>
      <w:r>
        <w:rPr>
          <w:rFonts w:ascii="Segoe UI" w:hAnsi="Segoe UI"/>
          <w:b/>
          <w:color w:val="1E3C72"/>
          <w:sz w:val="20"/>
        </w:rPr>
        <w:t>[37]</w:t>
      </w:r>
      <w:r>
        <w:rPr>
          <w:rFonts w:ascii="Segoe UI" w:hAnsi="Segoe UI"/>
          <w:color w:val="1F2937"/>
          <w:sz w:val="20"/>
        </w:rPr>
        <w:t xml:space="preserve"> ile inceleme dönüş sürelerinin (TAT) kısaltılması </w:t>
      </w:r>
      <w:r>
        <w:rPr>
          <w:rFonts w:ascii="Segoe UI" w:hAnsi="Segoe UI"/>
          <w:b/>
          <w:color w:val="1E3C72"/>
          <w:sz w:val="20"/>
        </w:rPr>
        <w:t>[9, 25]</w:t>
      </w:r>
      <w:r>
        <w:rPr>
          <w:rFonts w:ascii="Segoe UI" w:hAnsi="Segoe UI"/>
          <w:color w:val="1F2937"/>
          <w:sz w:val="20"/>
        </w:rPr>
        <w:t xml:space="preserve"> hedefleri doğrultusunda Modül 2'de deterministik bir otomatik dosya dağıtım algoritması geliştirilmiştir. Sistem, başvurunun çalışma alanını Türkçe karakter duyarlı (.toLocaleLowerCase('tr-TR') / mb_strtolower) anahtar kelimelere ayırmakta ve aktif kurul üyelerini şu matematiksel modelle puanlamaktadır:</w:t>
        <w:br/>
        <w:t>• Aday Uygunluk Skoru = (Uzmanlık Kelime Eşleşme Sayısı × 100) − (Üyenin Aktif Dosya Sayısı × 10)</w:t>
        <w:br/>
        <w:t>En yüksek puanlı 2 raportör otomatik olarak atanmakta, eşitlik halinde aktif dosya yükü daha az olan üyeye öncelik verilmektedir (Şekil 5).</w:t>
      </w:r>
    </w:p>
    <w:p>
      <w:pPr>
        <w:spacing w:before="120" w:after="40"/>
        <w:jc w:val="center"/>
      </w:pPr>
      <w:r>
        <w:drawing>
          <wp:inline xmlns:a="http://schemas.openxmlformats.org/drawingml/2006/main" xmlns:pic="http://schemas.openxmlformats.org/drawingml/2006/picture">
            <wp:extent cx="5577840" cy="2818277"/>
            <wp:docPr id="5" name="Picture 5"/>
            <wp:cNvGraphicFramePr>
              <a:graphicFrameLocks noChangeAspect="1"/>
            </wp:cNvGraphicFramePr>
            <a:graphic>
              <a:graphicData uri="http://schemas.openxmlformats.org/drawingml/2006/picture">
                <pic:pic>
                  <pic:nvPicPr>
                    <pic:cNvPr id="0" name="chart_02_algorithm_scoring.png"/>
                    <pic:cNvPicPr/>
                  </pic:nvPicPr>
                  <pic:blipFill>
                    <a:blip r:embed="rId13"/>
                    <a:stretch>
                      <a:fillRect/>
                    </a:stretch>
                  </pic:blipFill>
                  <pic:spPr>
                    <a:xfrm>
                      <a:off x="0" y="0"/>
                      <a:ext cx="5577840" cy="2818277"/>
                    </a:xfrm>
                    <a:prstGeom prst="rect"/>
                  </pic:spPr>
                </pic:pic>
              </a:graphicData>
            </a:graphic>
          </wp:inline>
        </w:drawing>
      </w:r>
    </w:p>
    <w:p>
      <w:pPr>
        <w:spacing w:after="160"/>
        <w:jc w:val="center"/>
      </w:pPr>
      <w:r>
        <w:rPr>
          <w:rFonts w:ascii="Segoe UI" w:hAnsi="Segoe UI"/>
          <w:b/>
          <w:color w:val="0F172A"/>
          <w:sz w:val="18"/>
        </w:rPr>
        <w:t>Şekil 5: Akıllı Otomatik Dosya Dağıtım Algoritması Puanlama ve Yük Dengeleme Grafiği</w:t>
      </w:r>
    </w:p>
    <w:p>
      <w:pPr>
        <w:pStyle w:val="Heading2"/>
        <w:spacing w:before="160" w:after="80"/>
      </w:pPr>
      <w:r>
        <w:rPr>
          <w:rFonts w:ascii="Segoe UI" w:hAnsi="Segoe UI"/>
          <w:color w:val="0284C7"/>
          <w:sz w:val="24"/>
        </w:rPr>
        <w:t>3.3. Modül 3: Karar, Revizyon ve Kriptografik QR Belge Modülü (Node.js + MongoDB)</w:t>
      </w:r>
    </w:p>
    <w:p>
      <w:pPr>
        <w:spacing w:line="283" w:lineRule="auto" w:after="120"/>
        <w:ind w:firstLine="360"/>
        <w:jc w:val="both"/>
      </w:pPr>
      <w:r>
        <w:rPr>
          <w:rFonts w:ascii="Segoe UI" w:hAnsi="Segoe UI"/>
          <w:color w:val="1F2937"/>
          <w:sz w:val="20"/>
        </w:rPr>
        <w:t xml:space="preserve">CUREC araştırmasında kullanıcıların %92,3 oranında en yüksek memnuniyet bildirdiği modül olan 'çevrimiçi otomatik onay sertifikası üretimi' </w:t>
      </w:r>
      <w:r>
        <w:rPr>
          <w:rFonts w:ascii="Segoe UI" w:hAnsi="Segoe UI"/>
          <w:b/>
          <w:color w:val="1E3C72"/>
          <w:sz w:val="20"/>
        </w:rPr>
        <w:t>[9]</w:t>
      </w:r>
      <w:r>
        <w:rPr>
          <w:rFonts w:ascii="Segoe UI" w:hAnsi="Segoe UI"/>
          <w:color w:val="1F2937"/>
          <w:sz w:val="20"/>
        </w:rPr>
        <w:t xml:space="preserve"> ve Türkiye'deki otomasyonlarda aranan 'başvuru verisinden şablonla hatasız karar belgesi oluşturma' </w:t>
      </w:r>
      <w:r>
        <w:rPr>
          <w:rFonts w:ascii="Segoe UI" w:hAnsi="Segoe UI"/>
          <w:b/>
          <w:color w:val="1E3C72"/>
          <w:sz w:val="20"/>
        </w:rPr>
        <w:t>[19]</w:t>
      </w:r>
      <w:r>
        <w:rPr>
          <w:rFonts w:ascii="Segoe UI" w:hAnsi="Segoe UI"/>
          <w:color w:val="1F2937"/>
          <w:sz w:val="20"/>
        </w:rPr>
        <w:t xml:space="preserve"> gereksinimleri Modül 3'te hayata geçirilmiştir. Kurul üyesi 1–5 ölçeğinde 3 temel kriteri (1: Metodoloji Uygunluğu, 2: Bilgilendirilmiş Onam ve Gönüllü Hakları, 3: Risk-Fayda Analizi) puanlayıp görüş bildirdiğinde, sistem ağırlıklı etik puan ortalamasını hesaplamakta (Şekil 6) ve SHA-256 tabanlı 24 haneli doğrulama kodu ile Base64 gömülü QR kod içeren resmi karar belgesini anında üretmektedir </w:t>
      </w:r>
      <w:r>
        <w:rPr>
          <w:rFonts w:ascii="Segoe UI" w:hAnsi="Segoe UI"/>
          <w:b/>
          <w:color w:val="1E3C72"/>
          <w:sz w:val="20"/>
        </w:rPr>
        <w:t>[10, 14]</w:t>
      </w:r>
      <w:r>
        <w:rPr>
          <w:rFonts w:ascii="Segoe UI" w:hAnsi="Segoe UI"/>
          <w:color w:val="1F2937"/>
          <w:sz w:val="20"/>
        </w:rPr>
        <w:t>.</w:t>
      </w:r>
    </w:p>
    <w:p>
      <w:pPr>
        <w:spacing w:before="120" w:after="40"/>
        <w:jc w:val="center"/>
      </w:pPr>
      <w:r>
        <w:drawing>
          <wp:inline xmlns:a="http://schemas.openxmlformats.org/drawingml/2006/main" xmlns:pic="http://schemas.openxmlformats.org/drawingml/2006/picture">
            <wp:extent cx="5577840" cy="2818277"/>
            <wp:docPr id="6" name="Picture 6"/>
            <wp:cNvGraphicFramePr>
              <a:graphicFrameLocks noChangeAspect="1"/>
            </wp:cNvGraphicFramePr>
            <a:graphic>
              <a:graphicData uri="http://schemas.openxmlformats.org/drawingml/2006/picture">
                <pic:pic>
                  <pic:nvPicPr>
                    <pic:cNvPr id="0" name="chart_03_evaluation_scores.png"/>
                    <pic:cNvPicPr/>
                  </pic:nvPicPr>
                  <pic:blipFill>
                    <a:blip r:embed="rId14"/>
                    <a:stretch>
                      <a:fillRect/>
                    </a:stretch>
                  </pic:blipFill>
                  <pic:spPr>
                    <a:xfrm>
                      <a:off x="0" y="0"/>
                      <a:ext cx="5577840" cy="2818277"/>
                    </a:xfrm>
                    <a:prstGeom prst="rect"/>
                  </pic:spPr>
                </pic:pic>
              </a:graphicData>
            </a:graphic>
          </wp:inline>
        </w:drawing>
      </w:r>
    </w:p>
    <w:p>
      <w:pPr>
        <w:spacing w:after="160"/>
        <w:jc w:val="center"/>
      </w:pPr>
      <w:r>
        <w:rPr>
          <w:rFonts w:ascii="Segoe UI" w:hAnsi="Segoe UI"/>
          <w:b/>
          <w:color w:val="0F172A"/>
          <w:sz w:val="18"/>
        </w:rPr>
        <w:t>Şekil 6: Kurul Üyesi Çok Kriterli Etik Değerlendirme Puanları ve Karar Dağılımı</w:t>
      </w:r>
    </w:p>
    <w:p>
      <w:r>
        <w:br w:type="page"/>
      </w:r>
    </w:p>
    <w:p>
      <w:pPr>
        <w:pStyle w:val="Heading1"/>
        <w:spacing w:before="240" w:after="80"/>
      </w:pPr>
      <w:r>
        <w:rPr>
          <w:rFonts w:ascii="Segoe UI" w:hAnsi="Segoe UI"/>
          <w:color w:val="1E3C72"/>
          <w:sz w:val="29"/>
        </w:rPr>
        <w:t>4. Uygulama İçi Gerçek Ekran Görüntüleri ve Uçtan Uca İş Akışı Doğrulaması</w:t>
      </w:r>
    </w:p>
    <w:p>
      <w:pPr>
        <w:spacing w:line="283" w:lineRule="auto" w:after="120"/>
        <w:ind w:firstLine="360"/>
        <w:jc w:val="both"/>
      </w:pPr>
      <w:r>
        <w:rPr>
          <w:rFonts w:ascii="Segoe UI" w:hAnsi="Segoe UI"/>
          <w:color w:val="1F2937"/>
          <w:sz w:val="20"/>
        </w:rPr>
        <w:t xml:space="preserve">Aşağıdaki ekran görüntüleri (Şekil 7 – Şekil 13), geliştirilen Windows 11 masaüstü uygulamasının (4-MasaustuUygulamasi) canlı çalışma ortamından doğrudan alınmış olup, literatürde tanımlanan 6 temel e-IRB aşamasının (Genel Bakış, Başvuru, Otomatik Atama, Üye Değerlendirme, Karar &amp; Sertifika Üretimi ve Kriptografik Doğrulama) uygulama içindeki işleyişini belgelendirmektedir </w:t>
      </w:r>
      <w:r>
        <w:rPr>
          <w:rFonts w:ascii="Segoe UI" w:hAnsi="Segoe UI"/>
          <w:b/>
          <w:color w:val="1E3C72"/>
          <w:sz w:val="20"/>
        </w:rPr>
        <w:t>[1, 3, 9, 19]</w:t>
      </w:r>
      <w:r>
        <w:rPr>
          <w:rFonts w:ascii="Segoe UI" w:hAnsi="Segoe UI"/>
          <w:color w:val="1F2937"/>
          <w:sz w:val="20"/>
        </w:rPr>
        <w:t>.</w:t>
      </w:r>
    </w:p>
    <w:p>
      <w:pPr>
        <w:spacing w:before="120" w:after="40"/>
        <w:jc w:val="center"/>
      </w:pPr>
      <w:r>
        <w:drawing>
          <wp:inline xmlns:a="http://schemas.openxmlformats.org/drawingml/2006/main" xmlns:pic="http://schemas.openxmlformats.org/drawingml/2006/picture">
            <wp:extent cx="5669280" cy="3173180"/>
            <wp:docPr id="7" name="Picture 7"/>
            <wp:cNvGraphicFramePr>
              <a:graphicFrameLocks noChangeAspect="1"/>
            </wp:cNvGraphicFramePr>
            <a:graphic>
              <a:graphicData uri="http://schemas.openxmlformats.org/drawingml/2006/picture">
                <pic:pic>
                  <pic:nvPicPr>
                    <pic:cNvPr id="0" name="01_dashboard.png"/>
                    <pic:cNvPicPr/>
                  </pic:nvPicPr>
                  <pic:blipFill>
                    <a:blip r:embed="rId15"/>
                    <a:stretch>
                      <a:fillRect/>
                    </a:stretch>
                  </pic:blipFill>
                  <pic:spPr>
                    <a:xfrm>
                      <a:off x="0" y="0"/>
                      <a:ext cx="5669280" cy="3173180"/>
                    </a:xfrm>
                    <a:prstGeom prst="rect"/>
                  </pic:spPr>
                </pic:pic>
              </a:graphicData>
            </a:graphic>
          </wp:inline>
        </w:drawing>
      </w:r>
    </w:p>
    <w:p>
      <w:pPr>
        <w:spacing w:after="160"/>
        <w:jc w:val="center"/>
      </w:pPr>
      <w:r>
        <w:rPr>
          <w:rFonts w:ascii="Segoe UI" w:hAnsi="Segoe UI"/>
          <w:b/>
          <w:color w:val="0F172A"/>
          <w:sz w:val="18"/>
        </w:rPr>
        <w:t xml:space="preserve">Şekil 7: Sistem Genel Bakış (Dashboard) Sekmesi — Toplam başvuru, incelemedeki dosyalar, onaylanan kararlar (2 Onaylı Karar) ve her başvuru için durum bazlı 'Hızlı İşlem' butonları </w:t>
      </w:r>
      <w:r>
        <w:rPr>
          <w:rFonts w:ascii="Segoe UI" w:hAnsi="Segoe UI"/>
          <w:b/>
          <w:color w:val="1E3C72"/>
          <w:sz w:val="18"/>
        </w:rPr>
        <w:t>[9, 16]</w:t>
      </w:r>
      <w:r>
        <w:rPr>
          <w:rFonts w:ascii="Segoe UI" w:hAnsi="Segoe UI"/>
          <w:b/>
          <w:color w:val="0F172A"/>
          <w:sz w:val="18"/>
        </w:rPr>
        <w:t>.</w:t>
      </w:r>
    </w:p>
    <w:p>
      <w:pPr>
        <w:spacing w:before="120" w:after="40"/>
        <w:jc w:val="center"/>
      </w:pPr>
      <w:r>
        <w:drawing>
          <wp:inline xmlns:a="http://schemas.openxmlformats.org/drawingml/2006/main" xmlns:pic="http://schemas.openxmlformats.org/drawingml/2006/picture">
            <wp:extent cx="5669280" cy="3173180"/>
            <wp:docPr id="8" name="Picture 8"/>
            <wp:cNvGraphicFramePr>
              <a:graphicFrameLocks noChangeAspect="1"/>
            </wp:cNvGraphicFramePr>
            <a:graphic>
              <a:graphicData uri="http://schemas.openxmlformats.org/drawingml/2006/picture">
                <pic:pic>
                  <pic:nvPicPr>
                    <pic:cNvPr id="0" name="02_application.png"/>
                    <pic:cNvPicPr/>
                  </pic:nvPicPr>
                  <pic:blipFill>
                    <a:blip r:embed="rId16"/>
                    <a:stretch>
                      <a:fillRect/>
                    </a:stretch>
                  </pic:blipFill>
                  <pic:spPr>
                    <a:xfrm>
                      <a:off x="0" y="0"/>
                      <a:ext cx="5669280" cy="3173180"/>
                    </a:xfrm>
                    <a:prstGeom prst="rect"/>
                  </pic:spPr>
                </pic:pic>
              </a:graphicData>
            </a:graphic>
          </wp:inline>
        </w:drawing>
      </w:r>
    </w:p>
    <w:p>
      <w:pPr>
        <w:spacing w:after="160"/>
        <w:jc w:val="center"/>
      </w:pPr>
      <w:r>
        <w:rPr>
          <w:rFonts w:ascii="Segoe UI" w:hAnsi="Segoe UI"/>
          <w:b/>
          <w:color w:val="0F172A"/>
          <w:sz w:val="18"/>
        </w:rPr>
        <w:t xml:space="preserve">Şekil 8: Yeni Etik Kurul Başvurusu Sekmesi — Sorumlu araştırmacı seçimi, satır içi 'Yeni Araştırmacı Ekle' paneli, uzmanlık alanı seçimi ve otomatik eklenen dijital protokol/onam belgeleri </w:t>
      </w:r>
      <w:r>
        <w:rPr>
          <w:rFonts w:ascii="Segoe UI" w:hAnsi="Segoe UI"/>
          <w:b/>
          <w:color w:val="1E3C72"/>
          <w:sz w:val="18"/>
        </w:rPr>
        <w:t>[3, 19]</w:t>
      </w:r>
      <w:r>
        <w:rPr>
          <w:rFonts w:ascii="Segoe UI" w:hAnsi="Segoe UI"/>
          <w:b/>
          <w:color w:val="0F172A"/>
          <w:sz w:val="18"/>
        </w:rPr>
        <w:t>.</w:t>
      </w:r>
    </w:p>
    <w:p>
      <w:pPr>
        <w:spacing w:before="120" w:after="40"/>
        <w:jc w:val="center"/>
      </w:pPr>
      <w:r>
        <w:drawing>
          <wp:inline xmlns:a="http://schemas.openxmlformats.org/drawingml/2006/main" xmlns:pic="http://schemas.openxmlformats.org/drawingml/2006/picture">
            <wp:extent cx="5669280" cy="3173180"/>
            <wp:docPr id="9" name="Picture 9"/>
            <wp:cNvGraphicFramePr>
              <a:graphicFrameLocks noChangeAspect="1"/>
            </wp:cNvGraphicFramePr>
            <a:graphic>
              <a:graphicData uri="http://schemas.openxmlformats.org/drawingml/2006/picture">
                <pic:pic>
                  <pic:nvPicPr>
                    <pic:cNvPr id="0" name="03_assignment.png"/>
                    <pic:cNvPicPr/>
                  </pic:nvPicPr>
                  <pic:blipFill>
                    <a:blip r:embed="rId17"/>
                    <a:stretch>
                      <a:fillRect/>
                    </a:stretch>
                  </pic:blipFill>
                  <pic:spPr>
                    <a:xfrm>
                      <a:off x="0" y="0"/>
                      <a:ext cx="5669280" cy="3173180"/>
                    </a:xfrm>
                    <a:prstGeom prst="rect"/>
                  </pic:spPr>
                </pic:pic>
              </a:graphicData>
            </a:graphic>
          </wp:inline>
        </w:drawing>
      </w:r>
    </w:p>
    <w:p>
      <w:pPr>
        <w:spacing w:after="160"/>
        <w:jc w:val="center"/>
      </w:pPr>
      <w:r>
        <w:rPr>
          <w:rFonts w:ascii="Segoe UI" w:hAnsi="Segoe UI"/>
          <w:b/>
          <w:color w:val="0F172A"/>
          <w:sz w:val="18"/>
        </w:rPr>
        <w:t xml:space="preserve">Şekil 9: Otomatik Atama Sekmesi — Atama bekleyen başvurular, kurul üyelerinin aktif dosya yükleri ve alt kısımda yer alan 'Atanmış Dosyalar ve Raportör İnceleme Durumu' takip tablosu </w:t>
      </w:r>
      <w:r>
        <w:rPr>
          <w:rFonts w:ascii="Segoe UI" w:hAnsi="Segoe UI"/>
          <w:b/>
          <w:color w:val="1E3C72"/>
          <w:sz w:val="18"/>
        </w:rPr>
        <w:t>[9, 37]</w:t>
      </w:r>
      <w:r>
        <w:rPr>
          <w:rFonts w:ascii="Segoe UI" w:hAnsi="Segoe UI"/>
          <w:b/>
          <w:color w:val="0F172A"/>
          <w:sz w:val="18"/>
        </w:rPr>
        <w:t>.</w:t>
      </w:r>
    </w:p>
    <w:p>
      <w:pPr>
        <w:spacing w:before="120" w:after="40"/>
        <w:jc w:val="center"/>
      </w:pPr>
      <w:r>
        <w:drawing>
          <wp:inline xmlns:a="http://schemas.openxmlformats.org/drawingml/2006/main" xmlns:pic="http://schemas.openxmlformats.org/drawingml/2006/picture">
            <wp:extent cx="5669280" cy="3173180"/>
            <wp:docPr id="10" name="Picture 10"/>
            <wp:cNvGraphicFramePr>
              <a:graphicFrameLocks noChangeAspect="1"/>
            </wp:cNvGraphicFramePr>
            <a:graphic>
              <a:graphicData uri="http://schemas.openxmlformats.org/drawingml/2006/picture">
                <pic:pic>
                  <pic:nvPicPr>
                    <pic:cNvPr id="0" name="04_evaluation.png"/>
                    <pic:cNvPicPr/>
                  </pic:nvPicPr>
                  <pic:blipFill>
                    <a:blip r:embed="rId18"/>
                    <a:stretch>
                      <a:fillRect/>
                    </a:stretch>
                  </pic:blipFill>
                  <pic:spPr>
                    <a:xfrm>
                      <a:off x="0" y="0"/>
                      <a:ext cx="5669280" cy="3173180"/>
                    </a:xfrm>
                    <a:prstGeom prst="rect"/>
                  </pic:spPr>
                </pic:pic>
              </a:graphicData>
            </a:graphic>
          </wp:inline>
        </w:drawing>
      </w:r>
    </w:p>
    <w:p>
      <w:pPr>
        <w:spacing w:after="160"/>
        <w:jc w:val="center"/>
      </w:pPr>
      <w:r>
        <w:rPr>
          <w:rFonts w:ascii="Segoe UI" w:hAnsi="Segoe UI"/>
          <w:b/>
          <w:color w:val="0F172A"/>
          <w:sz w:val="18"/>
        </w:rPr>
        <w:t xml:space="preserve">Şekil 10: Kurul Üye Değerlendirme &amp; Puanlama Sekmesi — Metodoloji, Bilgilendirilmiş Onam ve Risk-Fayda kriterleri (1-5 puan), üye karar tercihi ve 'Tamamlanan Üye Değerlendirmeleri' geçmiş tablosu </w:t>
      </w:r>
      <w:r>
        <w:rPr>
          <w:rFonts w:ascii="Segoe UI" w:hAnsi="Segoe UI"/>
          <w:b/>
          <w:color w:val="1E3C72"/>
          <w:sz w:val="18"/>
        </w:rPr>
        <w:t>[4, 20]</w:t>
      </w:r>
      <w:r>
        <w:rPr>
          <w:rFonts w:ascii="Segoe UI" w:hAnsi="Segoe UI"/>
          <w:b/>
          <w:color w:val="0F172A"/>
          <w:sz w:val="18"/>
        </w:rPr>
        <w:t>.</w:t>
      </w:r>
    </w:p>
    <w:p>
      <w:pPr>
        <w:spacing w:before="120" w:after="40"/>
        <w:jc w:val="center"/>
      </w:pPr>
      <w:r>
        <w:drawing>
          <wp:inline xmlns:a="http://schemas.openxmlformats.org/drawingml/2006/main" xmlns:pic="http://schemas.openxmlformats.org/drawingml/2006/picture">
            <wp:extent cx="5669280" cy="3173180"/>
            <wp:docPr id="11" name="Picture 11"/>
            <wp:cNvGraphicFramePr>
              <a:graphicFrameLocks noChangeAspect="1"/>
            </wp:cNvGraphicFramePr>
            <a:graphic>
              <a:graphicData uri="http://schemas.openxmlformats.org/drawingml/2006/picture">
                <pic:pic>
                  <pic:nvPicPr>
                    <pic:cNvPr id="0" name="05_decision.png"/>
                    <pic:cNvPicPr/>
                  </pic:nvPicPr>
                  <pic:blipFill>
                    <a:blip r:embed="rId19"/>
                    <a:stretch>
                      <a:fillRect/>
                    </a:stretch>
                  </pic:blipFill>
                  <pic:spPr>
                    <a:xfrm>
                      <a:off x="0" y="0"/>
                      <a:ext cx="5669280" cy="3173180"/>
                    </a:xfrm>
                    <a:prstGeom prst="rect"/>
                  </pic:spPr>
                </pic:pic>
              </a:graphicData>
            </a:graphic>
          </wp:inline>
        </w:drawing>
      </w:r>
    </w:p>
    <w:p>
      <w:pPr>
        <w:spacing w:after="160"/>
        <w:jc w:val="center"/>
      </w:pPr>
      <w:r>
        <w:rPr>
          <w:rFonts w:ascii="Segoe UI" w:hAnsi="Segoe UI"/>
          <w:b/>
          <w:color w:val="0F172A"/>
          <w:sz w:val="18"/>
        </w:rPr>
        <w:t xml:space="preserve">Şekil 11: Nihai Kurul Kararları &amp; Belgeler Sekmesi — Onaylanan ve revizyon verilen başvuruların karar numaraları, etik puan ortalamaları, doğrulama kodları ve Hızlı Kurul Başkanlığı Kararı tablosu </w:t>
      </w:r>
      <w:r>
        <w:rPr>
          <w:rFonts w:ascii="Segoe UI" w:hAnsi="Segoe UI"/>
          <w:b/>
          <w:color w:val="1E3C72"/>
          <w:sz w:val="18"/>
        </w:rPr>
        <w:t>[14, 19, 25]</w:t>
      </w:r>
      <w:r>
        <w:rPr>
          <w:rFonts w:ascii="Segoe UI" w:hAnsi="Segoe UI"/>
          <w:b/>
          <w:color w:val="0F172A"/>
          <w:sz w:val="18"/>
        </w:rPr>
        <w:t>.</w:t>
      </w:r>
    </w:p>
    <w:p>
      <w:pPr>
        <w:spacing w:before="120" w:after="40"/>
        <w:jc w:val="center"/>
      </w:pPr>
      <w:r>
        <w:drawing>
          <wp:inline xmlns:a="http://schemas.openxmlformats.org/drawingml/2006/main" xmlns:pic="http://schemas.openxmlformats.org/drawingml/2006/picture">
            <wp:extent cx="4846320" cy="4120247"/>
            <wp:docPr id="12" name="Picture 12"/>
            <wp:cNvGraphicFramePr>
              <a:graphicFrameLocks noChangeAspect="1"/>
            </wp:cNvGraphicFramePr>
            <a:graphic>
              <a:graphicData uri="http://schemas.openxmlformats.org/drawingml/2006/picture">
                <pic:pic>
                  <pic:nvPicPr>
                    <pic:cNvPr id="0" name="06_certificate.png"/>
                    <pic:cNvPicPr/>
                  </pic:nvPicPr>
                  <pic:blipFill>
                    <a:blip r:embed="rId20"/>
                    <a:stretch>
                      <a:fillRect/>
                    </a:stretch>
                  </pic:blipFill>
                  <pic:spPr>
                    <a:xfrm>
                      <a:off x="0" y="0"/>
                      <a:ext cx="4846320" cy="4120247"/>
                    </a:xfrm>
                    <a:prstGeom prst="rect"/>
                  </pic:spPr>
                </pic:pic>
              </a:graphicData>
            </a:graphic>
          </wp:inline>
        </w:drawing>
      </w:r>
    </w:p>
    <w:p>
      <w:pPr>
        <w:spacing w:after="160"/>
        <w:jc w:val="center"/>
      </w:pPr>
      <w:r>
        <w:rPr>
          <w:rFonts w:ascii="Segoe UI" w:hAnsi="Segoe UI"/>
          <w:b/>
          <w:color w:val="0F172A"/>
          <w:sz w:val="18"/>
        </w:rPr>
        <w:t xml:space="preserve">Şekil 12: Otomatik Oluşturulan QR Kodlu Resmi Etik Kurul Karar Belgesi — Başvuru künyesi, nihai onay hükmü, kurul üyesi imzaları, Etik Kurul Başkanı onayı, 24 haneli kriptografik kod ve gömülü Karekod (QR) </w:t>
      </w:r>
      <w:r>
        <w:rPr>
          <w:rFonts w:ascii="Segoe UI" w:hAnsi="Segoe UI"/>
          <w:b/>
          <w:color w:val="1E3C72"/>
          <w:sz w:val="18"/>
        </w:rPr>
        <w:t>[9, 10, 19]</w:t>
      </w:r>
      <w:r>
        <w:rPr>
          <w:rFonts w:ascii="Segoe UI" w:hAnsi="Segoe UI"/>
          <w:b/>
          <w:color w:val="0F172A"/>
          <w:sz w:val="18"/>
        </w:rPr>
        <w:t>.</w:t>
      </w:r>
    </w:p>
    <w:p>
      <w:pPr>
        <w:spacing w:before="120" w:after="40"/>
        <w:jc w:val="center"/>
      </w:pPr>
      <w:r>
        <w:drawing>
          <wp:inline xmlns:a="http://schemas.openxmlformats.org/drawingml/2006/main" xmlns:pic="http://schemas.openxmlformats.org/drawingml/2006/picture">
            <wp:extent cx="5669280" cy="3173180"/>
            <wp:docPr id="13" name="Picture 13"/>
            <wp:cNvGraphicFramePr>
              <a:graphicFrameLocks noChangeAspect="1"/>
            </wp:cNvGraphicFramePr>
            <a:graphic>
              <a:graphicData uri="http://schemas.openxmlformats.org/drawingml/2006/picture">
                <pic:pic>
                  <pic:nvPicPr>
                    <pic:cNvPr id="0" name="07_verification.png"/>
                    <pic:cNvPicPr/>
                  </pic:nvPicPr>
                  <pic:blipFill>
                    <a:blip r:embed="rId21"/>
                    <a:stretch>
                      <a:fillRect/>
                    </a:stretch>
                  </pic:blipFill>
                  <pic:spPr>
                    <a:xfrm>
                      <a:off x="0" y="0"/>
                      <a:ext cx="5669280" cy="3173180"/>
                    </a:xfrm>
                    <a:prstGeom prst="rect"/>
                  </pic:spPr>
                </pic:pic>
              </a:graphicData>
            </a:graphic>
          </wp:inline>
        </w:drawing>
      </w:r>
    </w:p>
    <w:p>
      <w:pPr>
        <w:spacing w:after="160"/>
        <w:jc w:val="center"/>
      </w:pPr>
      <w:r>
        <w:rPr>
          <w:rFonts w:ascii="Segoe UI" w:hAnsi="Segoe UI"/>
          <w:b/>
          <w:color w:val="0F172A"/>
          <w:sz w:val="18"/>
        </w:rPr>
        <w:t xml:space="preserve">Şekil 13: Resmi Karar Belgesi Doğrulama Sekmesi — Kayıtlı karar kodlarına tek tıkla erişim ve 24 haneli kriptografik doğrulama kodu ile yapılan sorgulamada belgenin gerçekliğinin teyit edilmesi </w:t>
      </w:r>
      <w:r>
        <w:rPr>
          <w:rFonts w:ascii="Segoe UI" w:hAnsi="Segoe UI"/>
          <w:b/>
          <w:color w:val="1E3C72"/>
          <w:sz w:val="18"/>
        </w:rPr>
        <w:t>[10, 17]</w:t>
      </w:r>
      <w:r>
        <w:rPr>
          <w:rFonts w:ascii="Segoe UI" w:hAnsi="Segoe UI"/>
          <w:b/>
          <w:color w:val="0F172A"/>
          <w:sz w:val="18"/>
        </w:rPr>
        <w:t>.</w:t>
      </w:r>
    </w:p>
    <w:p>
      <w:r>
        <w:br w:type="page"/>
      </w:r>
    </w:p>
    <w:p>
      <w:pPr>
        <w:pStyle w:val="Heading1"/>
        <w:spacing w:before="240" w:after="80"/>
      </w:pPr>
      <w:r>
        <w:rPr>
          <w:rFonts w:ascii="Segoe UI" w:hAnsi="Segoe UI"/>
          <w:color w:val="1E3C72"/>
          <w:sz w:val="29"/>
        </w:rPr>
        <w:t>5. Yazılımsal Mantık Hatalarının Giderilmesi ve Süreç İyileştirme Analizi</w:t>
      </w:r>
    </w:p>
    <w:p>
      <w:pPr>
        <w:spacing w:line="283" w:lineRule="auto" w:after="120"/>
        <w:ind w:firstLine="360"/>
        <w:jc w:val="both"/>
      </w:pPr>
      <w:r>
        <w:rPr>
          <w:rFonts w:ascii="Segoe UI" w:hAnsi="Segoe UI"/>
          <w:color w:val="1F2937"/>
          <w:sz w:val="20"/>
        </w:rPr>
        <w:t xml:space="preserve">Literatürde Mayo Clinic ve Wisconsin Tıp Fakültesi çalışmalarında vurgulandığı üzere, e-IRB süreçlerindeki bekleme ve senkronizasyon darboğazlarının kaldırılması toplam dönüş süresini (TAT) %70'e varan oranda iyileştirmektedir </w:t>
      </w:r>
      <w:r>
        <w:rPr>
          <w:rFonts w:ascii="Segoe UI" w:hAnsi="Segoe UI"/>
          <w:b/>
          <w:color w:val="1E3C72"/>
          <w:sz w:val="20"/>
        </w:rPr>
        <w:t>[25, 32]</w:t>
      </w:r>
      <w:r>
        <w:rPr>
          <w:rFonts w:ascii="Segoe UI" w:hAnsi="Segoe UI"/>
          <w:color w:val="1F2937"/>
          <w:sz w:val="20"/>
        </w:rPr>
        <w:t>. Geliştirilen uygulamada yapılan kullanıcı testleri sonucunda tespit edilen 'onaylanan dosyaların Karar sekmesine düşmemesi' problemi ve ilişkili 7 yazılımsal mantık hatası sistematik olarak analiz edilmiş ve tamamen giderilmiştir (Tablo 6).</w:t>
      </w:r>
    </w:p>
    <w:p>
      <w:pPr>
        <w:spacing w:before="160" w:after="80"/>
        <w:jc w:val="left"/>
      </w:pPr>
      <w:r>
        <w:rPr>
          <w:rFonts w:ascii="Segoe UI" w:hAnsi="Segoe UI"/>
          <w:b/>
          <w:color w:val="1E3C72"/>
          <w:sz w:val="19"/>
        </w:rPr>
        <w:t>Tablo 6: Tespit Edilen Yazılımsal Mantık Hataları, Kök Neden Analizi ve Uygulanan Mühendislik Çözümleri</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fill="1E3C72"/>
            <w:tcMar>
              <w:top w:w="100" w:type="dxa"/>
              <w:bottom w:w="100" w:type="dxa"/>
              <w:left w:w="120" w:type="dxa"/>
              <w:right w:w="120" w:type="dxa"/>
            </w:tcMar>
            <w:vAlign w:val="center"/>
          </w:tcPr>
          <w:p>
            <w:pPr>
              <w:jc w:val="left"/>
            </w:pPr>
            <w:r/>
            <w:r>
              <w:rPr>
                <w:rFonts w:ascii="Segoe UI" w:hAnsi="Segoe UI"/>
                <w:b/>
                <w:color w:val="FFFFFF"/>
                <w:sz w:val="18"/>
              </w:rPr>
              <w:t>Hata No &amp; Başlığı</w:t>
            </w:r>
          </w:p>
        </w:tc>
        <w:tc>
          <w:tcPr>
            <w:tcW w:type="dxa" w:w="3456"/>
            <w:shd w:fill="1E3C72"/>
            <w:tcMar>
              <w:top w:w="100" w:type="dxa"/>
              <w:bottom w:w="100" w:type="dxa"/>
              <w:left w:w="120" w:type="dxa"/>
              <w:right w:w="120" w:type="dxa"/>
            </w:tcMar>
            <w:vAlign w:val="center"/>
          </w:tcPr>
          <w:p>
            <w:pPr>
              <w:jc w:val="left"/>
            </w:pPr>
            <w:r/>
            <w:r>
              <w:rPr>
                <w:rFonts w:ascii="Segoe UI" w:hAnsi="Segoe UI"/>
                <w:b/>
                <w:color w:val="FFFFFF"/>
                <w:sz w:val="18"/>
              </w:rPr>
              <w:t>Kök Neden Analizi (Önceki Hatalı Durum)</w:t>
            </w:r>
          </w:p>
        </w:tc>
        <w:tc>
          <w:tcPr>
            <w:tcW w:type="dxa" w:w="3888"/>
            <w:shd w:fill="1E3C72"/>
            <w:tcMar>
              <w:top w:w="100" w:type="dxa"/>
              <w:bottom w:w="100" w:type="dxa"/>
              <w:left w:w="120" w:type="dxa"/>
              <w:right w:w="120" w:type="dxa"/>
            </w:tcMar>
            <w:vAlign w:val="center"/>
          </w:tcPr>
          <w:p>
            <w:pPr>
              <w:jc w:val="left"/>
            </w:pPr>
            <w:r/>
            <w:r>
              <w:rPr>
                <w:rFonts w:ascii="Segoe UI" w:hAnsi="Segoe UI"/>
                <w:b/>
                <w:color w:val="FFFFFF"/>
                <w:sz w:val="18"/>
              </w:rPr>
              <w:t>Uygulanan Mühendislik Çözümü (Yeni Durum)</w:t>
            </w:r>
          </w:p>
        </w:tc>
      </w:tr>
      <w:tr>
        <w:tc>
          <w:tcPr>
            <w:tcW w:type="dxa" w:w="216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1. Tek Raportör Onayında Karar Sekmesinin Boş Kalması</w:t>
            </w:r>
          </w:p>
        </w:tc>
        <w:tc>
          <w:tcPr>
            <w:tcW w:type="dxa" w:w="3456"/>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Otomatik atama 2 raportör atıyordu. 1. raportör onay verdiğinde getEvaluationSummary() 'AwaitingReviews' dönüyor ve 2. raportör de oy verene kadar finalizeDecision() hiç çağrılmıyordu.</w:t>
            </w:r>
          </w:p>
        </w:tc>
        <w:tc>
          <w:tcPr>
            <w:tcW w:type="dxa" w:w="388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submitEvaluation() metodu asenkron hale getirildi ve ilk raportör değerlendirme yaptığı anda finalizeDecision() otomatik tetiklenerek karar ve sertifika anında Karar &amp; Belgeler sekmesine düşürüldü. 2. raportör oy verdiğinde aynı karar numarası korunarak belge 2 imza ile güncelleniyor </w:t>
            </w:r>
            <w:r>
              <w:rPr>
                <w:rFonts w:ascii="Segoe UI" w:hAnsi="Segoe UI"/>
                <w:b/>
                <w:color w:val="1E3C72"/>
                <w:sz w:val="17"/>
              </w:rPr>
              <w:t>[20, 25]</w:t>
            </w:r>
            <w:r>
              <w:rPr>
                <w:rFonts w:ascii="Segoe UI" w:hAnsi="Segoe UI"/>
                <w:color w:val="1F2937"/>
                <w:sz w:val="17"/>
              </w:rPr>
              <w:t>.</w:t>
            </w:r>
          </w:p>
        </w:tc>
      </w:tr>
      <w:tr>
        <w:tc>
          <w:tcPr>
            <w:tcW w:type="dxa" w:w="2160"/>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2. Geçmişte Değerlendirilen Dosyaların Kurtarılması (reconcileState)</w:t>
            </w:r>
          </w:p>
        </w:tc>
        <w:tc>
          <w:tcPr>
            <w:tcW w:type="dxa" w:w="3456"/>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Önceki sürümde değerlendirilip 'UnderReview' durumunda asılı kalan başvurular (ör. ETIK-2026-00002 - AI) için geriye dönük karar üretme mekanizması yoktu.</w:t>
            </w:r>
          </w:p>
        </w:tc>
        <w:tc>
          <w:tcPr>
            <w:tcW w:type="dxa" w:w="3888"/>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EmbeddedWorkflow içerisine reconcileState() onarım motoru eklendi. Uygulama açılışında tüm değerlendirmeleri tarayarak kararı eksik olan başvuruları otomatik olarak KARAR-2026-00001 onay belgesine dönüştürdü </w:t>
            </w:r>
            <w:r>
              <w:rPr>
                <w:rFonts w:ascii="Segoe UI" w:hAnsi="Segoe UI"/>
                <w:b/>
                <w:color w:val="1E3C72"/>
                <w:sz w:val="17"/>
              </w:rPr>
              <w:t>[14]</w:t>
            </w:r>
            <w:r>
              <w:rPr>
                <w:rFonts w:ascii="Segoe UI" w:hAnsi="Segoe UI"/>
                <w:color w:val="1F2937"/>
                <w:sz w:val="17"/>
              </w:rPr>
              <w:t>.</w:t>
            </w:r>
          </w:p>
        </w:tc>
      </w:tr>
      <w:tr>
        <w:tc>
          <w:tcPr>
            <w:tcW w:type="dxa" w:w="216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3. Otomatik Kararlarda Yanlış Gerekçe (Ret Metni) Yazılması</w:t>
            </w:r>
          </w:p>
        </w:tc>
        <w:tc>
          <w:tcPr>
            <w:tcW w:type="dxa" w:w="3456"/>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finalizeDecision() içinde finalDecision parametresi doğrudan gönderilmeyip summary.recommendation üzerinden 'Approved' geldiğinde, koşul hatası nedeniyle onaylanan belgeye ret gerekçesi yazılıyordu.</w:t>
            </w:r>
          </w:p>
        </w:tc>
        <w:tc>
          <w:tcPr>
            <w:tcW w:type="dxa" w:w="388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Koşul effectiveDecision değişkenine bağlandı. Approved, RevisionNeeded ve Rejected durumları için ayrı resmi gerekçe şablonları tanımlandı ve raportörün feedbackNotes görüşü karar metnine eklendi </w:t>
            </w:r>
            <w:r>
              <w:rPr>
                <w:rFonts w:ascii="Segoe UI" w:hAnsi="Segoe UI"/>
                <w:b/>
                <w:color w:val="1E3C72"/>
                <w:sz w:val="17"/>
              </w:rPr>
              <w:t>[19]</w:t>
            </w:r>
            <w:r>
              <w:rPr>
                <w:rFonts w:ascii="Segoe UI" w:hAnsi="Segoe UI"/>
                <w:color w:val="1F2937"/>
                <w:sz w:val="17"/>
              </w:rPr>
              <w:t>.</w:t>
            </w:r>
          </w:p>
        </w:tc>
      </w:tr>
      <w:tr>
        <w:tc>
          <w:tcPr>
            <w:tcW w:type="dxa" w:w="2160"/>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4. Revizyon Sonrası Onaylama ve Doğrudan Karar Eksikliği</w:t>
            </w:r>
          </w:p>
        </w:tc>
        <w:tc>
          <w:tcPr>
            <w:tcW w:type="dxa" w:w="3456"/>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Revizyon ('RevisionNeeded') alan bir başvurunun düzeltme sonrasında nasıl onaylanacağına dair arayüzde bir kontrol yoktu.</w:t>
            </w:r>
          </w:p>
        </w:tc>
        <w:tc>
          <w:tcPr>
            <w:tcW w:type="dxa" w:w="3888"/>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Karar sekmesine revizyondaki dosyalar için tek tıkla 'Onayla' butonu ve henüz karara bağlanmamış dosyalar için 'Hızlı Kurul Başkanlığı Kararı (Onayla / Revizyon / Reddet)' tablosu eklendi </w:t>
            </w:r>
            <w:r>
              <w:rPr>
                <w:rFonts w:ascii="Segoe UI" w:hAnsi="Segoe UI"/>
                <w:b/>
                <w:color w:val="1E3C72"/>
                <w:sz w:val="17"/>
              </w:rPr>
              <w:t>[25]</w:t>
            </w:r>
            <w:r>
              <w:rPr>
                <w:rFonts w:ascii="Segoe UI" w:hAnsi="Segoe UI"/>
                <w:color w:val="1F2937"/>
                <w:sz w:val="17"/>
              </w:rPr>
              <w:t>.</w:t>
            </w:r>
          </w:p>
        </w:tc>
      </w:tr>
      <w:tr>
        <w:tc>
          <w:tcPr>
            <w:tcW w:type="dxa" w:w="216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5. Atanan Dosyaların ve Değerlendirme Geçmişinin Görünmemesi</w:t>
            </w:r>
          </w:p>
        </w:tc>
        <w:tc>
          <w:tcPr>
            <w:tcW w:type="dxa" w:w="3456"/>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Otomatik Atama sekmesinde dosya atandıktan sonra listeden kayboluyor, hangi raportörlerin atandığı ve kaçının değerlendirme yaptığı izlenemiyordu.</w:t>
            </w:r>
          </w:p>
        </w:tc>
        <w:tc>
          <w:tcPr>
            <w:tcW w:type="dxa" w:w="388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Otomatik Atama sekmesine 'Atanmış Dosyalar ve Raportör İnceleme Durumu' tablosu, Üye Değerlendirme sekmesine ise 'Tamamlanan Üye Değerlendirmeleri' tablosu eklendi </w:t>
            </w:r>
            <w:r>
              <w:rPr>
                <w:rFonts w:ascii="Segoe UI" w:hAnsi="Segoe UI"/>
                <w:b/>
                <w:color w:val="1E3C72"/>
                <w:sz w:val="17"/>
              </w:rPr>
              <w:t>[9, 16]</w:t>
            </w:r>
            <w:r>
              <w:rPr>
                <w:rFonts w:ascii="Segoe UI" w:hAnsi="Segoe UI"/>
                <w:color w:val="1F2937"/>
                <w:sz w:val="17"/>
              </w:rPr>
              <w:t>.</w:t>
            </w:r>
          </w:p>
        </w:tc>
      </w:tr>
      <w:tr>
        <w:tc>
          <w:tcPr>
            <w:tcW w:type="dxa" w:w="2160"/>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6. Türkçe Karakter ('İ/ı') Uzmanlık Eşleştirme ve Ünvan Tekrarı</w:t>
            </w:r>
          </w:p>
        </w:tc>
        <w:tc>
          <w:tcPr>
            <w:tcW w:type="dxa" w:w="3456"/>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tokenizeField() fonksiyonunda standart .toLowerCase() kullanıldığı için 'İ' harfi bozuluyor ve üye listesinde ünvanlar ('Prof. Dr. Prof. Dr.') mükerrer yazılıyordu.</w:t>
            </w:r>
          </w:p>
        </w:tc>
        <w:tc>
          <w:tcPr>
            <w:tcW w:type="dxa" w:w="3888"/>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.toLocaleLowerCase('tr-TR') kullanımına geçildi ve formatPersonName() yardımcı fonksiyonu ile ünvan tekrarları tamamen temizlendi.</w:t>
            </w:r>
          </w:p>
        </w:tc>
      </w:tr>
      <w:tr>
        <w:tc>
          <w:tcPr>
            <w:tcW w:type="dxa" w:w="2160"/>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7. Doğrulama Sekmesinde Sabit Yeşil Rozet ve Kod Kopyalama Zorluğu</w:t>
            </w:r>
          </w:p>
        </w:tc>
        <w:tc>
          <w:tcPr>
            <w:tcW w:type="dxa" w:w="3456"/>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Belge doğrulama ekranında ret veya revizyon kararları bile sabit yeşil rozetle gösteriliyordu ve 24 haneli kodu elle yazmak zordu.</w:t>
            </w:r>
          </w:p>
        </w:tc>
        <w:tc>
          <w:tcPr>
            <w:tcW w:type="dxa" w:w="388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 xml:space="preserve">Dinamik getBadgeClass() rozeti eklendi; ayrıca Karar ve Doğrulama sekmelerine tek tıkla doğrulama kodunu seçip sorgulayan etkileşimli kod etiketleri (code-pill) eklendi </w:t>
            </w:r>
            <w:r>
              <w:rPr>
                <w:rFonts w:ascii="Segoe UI" w:hAnsi="Segoe UI"/>
                <w:b/>
                <w:color w:val="1E3C72"/>
                <w:sz w:val="17"/>
              </w:rPr>
              <w:t>[17]</w:t>
            </w:r>
            <w:r>
              <w:rPr>
                <w:rFonts w:ascii="Segoe UI" w:hAnsi="Segoe UI"/>
                <w:color w:val="1F2937"/>
                <w:sz w:val="17"/>
              </w:rPr>
              <w:t>.</w:t>
            </w:r>
          </w:p>
        </w:tc>
      </w:tr>
    </w:tbl>
    <w:p/>
    <w:p>
      <w:pPr>
        <w:pStyle w:val="Heading1"/>
        <w:spacing w:before="240" w:after="80"/>
      </w:pPr>
      <w:r>
        <w:rPr>
          <w:rFonts w:ascii="Segoe UI" w:hAnsi="Segoe UI"/>
          <w:color w:val="1E3C72"/>
          <w:sz w:val="29"/>
        </w:rPr>
        <w:t>6. Deneysel Doğrulama, Otomatik Birim Testleri ve Kalite Güvencesi Bulguları</w:t>
      </w:r>
    </w:p>
    <w:p>
      <w:pPr>
        <w:spacing w:line="283" w:lineRule="auto" w:after="120"/>
        <w:ind w:firstLine="360"/>
        <w:jc w:val="both"/>
      </w:pPr>
      <w:r>
        <w:rPr>
          <w:rFonts w:ascii="Segoe UI" w:hAnsi="Segoe UI"/>
          <w:color w:val="1F2937"/>
          <w:sz w:val="20"/>
        </w:rPr>
        <w:t xml:space="preserve">ISO/IEC 25010 yazılım kalite standartları </w:t>
      </w:r>
      <w:r>
        <w:rPr>
          <w:rFonts w:ascii="Segoe UI" w:hAnsi="Segoe UI"/>
          <w:b/>
          <w:color w:val="1E3C72"/>
          <w:sz w:val="20"/>
        </w:rPr>
        <w:t>[29]</w:t>
      </w:r>
      <w:r>
        <w:rPr>
          <w:rFonts w:ascii="Segoe UI" w:hAnsi="Segoe UI"/>
          <w:color w:val="1F2937"/>
          <w:sz w:val="20"/>
        </w:rPr>
        <w:t xml:space="preserve"> doğrultusunda sistemdeki 4 modülün tamamı için bağımsız birim ve uçtan uca entegrasyon testleri geliştirilmiştir. PowerShell tabanlı 'test-workflow.ps1' doğrulama betiği ile yürütülen toplam 19 test senaryosunun tamamı (%100) başarıyla geçmiştir (Şekil 14 ve Tablo 7).</w:t>
      </w:r>
    </w:p>
    <w:p>
      <w:pPr>
        <w:spacing w:before="120" w:after="40"/>
        <w:jc w:val="center"/>
      </w:pPr>
      <w:r>
        <w:drawing>
          <wp:inline xmlns:a="http://schemas.openxmlformats.org/drawingml/2006/main" xmlns:pic="http://schemas.openxmlformats.org/drawingml/2006/picture">
            <wp:extent cx="5669280" cy="2401558"/>
            <wp:docPr id="14" name="Picture 14"/>
            <wp:cNvGraphicFramePr>
              <a:graphicFrameLocks noChangeAspect="1"/>
            </wp:cNvGraphicFramePr>
            <a:graphic>
              <a:graphicData uri="http://schemas.openxmlformats.org/drawingml/2006/picture">
                <pic:pic>
                  <pic:nvPicPr>
                    <pic:cNvPr id="0" name="chart_04_test_verification.png"/>
                    <pic:cNvPicPr/>
                  </pic:nvPicPr>
                  <pic:blipFill>
                    <a:blip r:embed="rId22"/>
                    <a:stretch>
                      <a:fillRect/>
                    </a:stretch>
                  </pic:blipFill>
                  <pic:spPr>
                    <a:xfrm>
                      <a:off x="0" y="0"/>
                      <a:ext cx="5669280" cy="2401558"/>
                    </a:xfrm>
                    <a:prstGeom prst="rect"/>
                  </pic:spPr>
                </pic:pic>
              </a:graphicData>
            </a:graphic>
          </wp:inline>
        </w:drawing>
      </w:r>
    </w:p>
    <w:p>
      <w:pPr>
        <w:spacing w:after="160"/>
        <w:jc w:val="center"/>
      </w:pPr>
      <w:r>
        <w:rPr>
          <w:rFonts w:ascii="Segoe UI" w:hAnsi="Segoe UI"/>
          <w:b/>
          <w:color w:val="0F172A"/>
          <w:sz w:val="18"/>
        </w:rPr>
        <w:t>Şekil 14: Modül Bazlı Otomatik Test Sonuçları (19/19) ve İşlevsel Doğrulama Dağılımı</w:t>
      </w:r>
    </w:p>
    <w:p>
      <w:pPr>
        <w:spacing w:before="160" w:after="80"/>
        <w:jc w:val="left"/>
      </w:pPr>
      <w:r>
        <w:rPr>
          <w:rFonts w:ascii="Segoe UI" w:hAnsi="Segoe UI"/>
          <w:b/>
          <w:color w:val="1E3C72"/>
          <w:sz w:val="19"/>
        </w:rPr>
        <w:t>Tablo 7: Uçtan Uca Otomatik Birim ve Entegrasyon Test Senaryoları Doğrulama Matrisi</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fill="1E3C72"/>
            <w:tcMar>
              <w:top w:w="100" w:type="dxa"/>
              <w:bottom w:w="100" w:type="dxa"/>
              <w:left w:w="120" w:type="dxa"/>
              <w:right w:w="120" w:type="dxa"/>
            </w:tcMar>
            <w:vAlign w:val="center"/>
          </w:tcPr>
          <w:p>
            <w:pPr>
              <w:jc w:val="left"/>
            </w:pPr>
            <w:r/>
            <w:r>
              <w:rPr>
                <w:rFonts w:ascii="Segoe UI" w:hAnsi="Segoe UI"/>
                <w:b/>
                <w:color w:val="FFFFFF"/>
                <w:sz w:val="18"/>
              </w:rPr>
              <w:t>Modül</w:t>
            </w:r>
          </w:p>
        </w:tc>
        <w:tc>
          <w:tcPr>
            <w:tcW w:type="dxa" w:w="2448"/>
            <w:shd w:fill="1E3C72"/>
            <w:tcMar>
              <w:top w:w="100" w:type="dxa"/>
              <w:bottom w:w="100" w:type="dxa"/>
              <w:left w:w="120" w:type="dxa"/>
              <w:right w:w="120" w:type="dxa"/>
            </w:tcMar>
            <w:vAlign w:val="center"/>
          </w:tcPr>
          <w:p>
            <w:pPr>
              <w:jc w:val="left"/>
            </w:pPr>
            <w:r/>
            <w:r>
              <w:rPr>
                <w:rFonts w:ascii="Segoe UI" w:hAnsi="Segoe UI"/>
                <w:b/>
                <w:color w:val="FFFFFF"/>
                <w:sz w:val="18"/>
              </w:rPr>
              <w:t>Test Dosyası</w:t>
            </w:r>
          </w:p>
        </w:tc>
        <w:tc>
          <w:tcPr>
            <w:tcW w:type="dxa" w:w="3744"/>
            <w:shd w:fill="1E3C72"/>
            <w:tcMar>
              <w:top w:w="100" w:type="dxa"/>
              <w:bottom w:w="100" w:type="dxa"/>
              <w:left w:w="120" w:type="dxa"/>
              <w:right w:w="120" w:type="dxa"/>
            </w:tcMar>
            <w:vAlign w:val="center"/>
          </w:tcPr>
          <w:p>
            <w:pPr>
              <w:jc w:val="left"/>
            </w:pPr>
            <w:r/>
            <w:r>
              <w:rPr>
                <w:rFonts w:ascii="Segoe UI" w:hAnsi="Segoe UI"/>
                <w:b/>
                <w:color w:val="FFFFFF"/>
                <w:sz w:val="18"/>
              </w:rPr>
              <w:t>Doğrulanan Senaryolar</w:t>
            </w:r>
          </w:p>
        </w:tc>
        <w:tc>
          <w:tcPr>
            <w:tcW w:type="dxa" w:w="1440"/>
            <w:shd w:fill="1E3C72"/>
            <w:tcMar>
              <w:top w:w="100" w:type="dxa"/>
              <w:bottom w:w="100" w:type="dxa"/>
              <w:left w:w="120" w:type="dxa"/>
              <w:right w:w="120" w:type="dxa"/>
            </w:tcMar>
            <w:vAlign w:val="center"/>
          </w:tcPr>
          <w:p>
            <w:pPr>
              <w:jc w:val="left"/>
            </w:pPr>
            <w:r/>
            <w:r>
              <w:rPr>
                <w:rFonts w:ascii="Segoe UI" w:hAnsi="Segoe UI"/>
                <w:b/>
                <w:color w:val="FFFFFF"/>
                <w:sz w:val="18"/>
              </w:rPr>
              <w:t>Sonuç</w:t>
            </w:r>
          </w:p>
        </w:tc>
      </w:tr>
      <w:tr>
        <w:tc>
          <w:tcPr>
            <w:tcW w:type="dxa" w:w="1872"/>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Modül 1</w:t>
              <w:br/>
              <w:t>(.NET 9 + MSSQL)</w:t>
            </w:r>
          </w:p>
        </w:tc>
        <w:tc>
          <w:tcPr>
            <w:tcW w:type="dxa" w:w="244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ApplicationServiceTests.cs</w:t>
            </w:r>
          </w:p>
        </w:tc>
        <w:tc>
          <w:tcPr>
            <w:tcW w:type="dxa" w:w="374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1) Yeni başvuru ve ETIK-YYYY-XXXXX protokol üretimi</w:t>
              <w:br/>
              <w:t>2) Protokol numarası ile başvuru ve araştırmacı sorgulama</w:t>
              <w:br/>
              <w:t>3) Dijital belge yükleme ve SHA-256 hash doğrulaması</w:t>
              <w:br/>
              <w:t>4) Başvuru durumu güncelleme ve geçersiz durum koruması</w:t>
            </w:r>
          </w:p>
        </w:tc>
        <w:tc>
          <w:tcPr>
            <w:tcW w:type="dxa" w:w="144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4 / 4 Başarılı</w:t>
              <w:br/>
              <w:t>(%100)</w:t>
            </w:r>
          </w:p>
        </w:tc>
      </w:tr>
      <w:tr>
        <w:tc>
          <w:tcPr>
            <w:tcW w:type="dxa" w:w="1872"/>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Modül 2</w:t>
              <w:br/>
              <w:t>(PHP 8.3 + MySQL)</w:t>
            </w:r>
          </w:p>
        </w:tc>
        <w:tc>
          <w:tcPr>
            <w:tcW w:type="dxa" w:w="2448"/>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AutoAssignmentTest.php</w:t>
            </w:r>
          </w:p>
        </w:tc>
        <w:tc>
          <w:tcPr>
            <w:tcW w:type="dxa" w:w="3744"/>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1) Kurul üyelerinin ve uzmanlık alanlarının listelenmesi</w:t>
              <w:br/>
              <w:t>2) Uzmanlık ve yük dengesine göre 2 raportör otomatik atama</w:t>
              <w:br/>
              <w:t>3) Yinelenen atama (Idempotency) engelleme testi</w:t>
              <w:br/>
              <w:t>4) Üye kriter puanlaması ve görüş kaydı oluşturma</w:t>
            </w:r>
          </w:p>
        </w:tc>
        <w:tc>
          <w:tcPr>
            <w:tcW w:type="dxa" w:w="144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4 / 4 Başarılı</w:t>
              <w:br/>
              <w:t>(%100)</w:t>
            </w:r>
          </w:p>
        </w:tc>
      </w:tr>
      <w:tr>
        <w:tc>
          <w:tcPr>
            <w:tcW w:type="dxa" w:w="1872"/>
            <w:shd w:fill="FFFFFF"/>
            <w:tcMar>
              <w:top w:w="85" w:type="dxa"/>
              <w:bottom w:w="85" w:type="dxa"/>
              <w:left w:w="120" w:type="dxa"/>
              <w:right w:w="120" w:type="dxa"/>
            </w:tcMar>
            <w:vAlign w:val="center"/>
          </w:tcPr>
          <w:p>
            <w:pPr>
              <w:spacing w:line="264" w:lineRule="auto"/>
              <w:jc w:val="left"/>
            </w:pPr>
            <w:r/>
            <w:r>
              <w:rPr>
                <w:rFonts w:ascii="Segoe UI" w:hAnsi="Segoe UI"/>
                <w:b/>
                <w:color w:val="0F172A"/>
                <w:sz w:val="17"/>
              </w:rPr>
              <w:t>Modül 3</w:t>
              <w:br/>
              <w:t>(Node.js + MongoDB)</w:t>
            </w:r>
          </w:p>
        </w:tc>
        <w:tc>
          <w:tcPr>
            <w:tcW w:type="dxa" w:w="2448"/>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decision.test.js</w:t>
            </w:r>
          </w:p>
        </w:tc>
        <w:tc>
          <w:tcPr>
            <w:tcW w:type="dxa" w:w="3744"/>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1) Revizyon talebi ve 14 günlük son teslim tarihi oluşturma</w:t>
              <w:br/>
              <w:t>2) Nihai karar ve Base64 QR kodlu resmi HTML sertifika üretimi</w:t>
              <w:br/>
              <w:t>3) 24 haneli kriptografik kod ile belge doğrulama</w:t>
              <w:br/>
              <w:t>4) Denetim izi (Audit Log) kayıtlarının bütünlük kontrolü</w:t>
            </w:r>
          </w:p>
        </w:tc>
        <w:tc>
          <w:tcPr>
            <w:tcW w:type="dxa" w:w="1440"/>
            <w:shd w:fill="FFFFFF"/>
            <w:tcMar>
              <w:top w:w="85" w:type="dxa"/>
              <w:bottom w:w="85" w:type="dxa"/>
              <w:left w:w="120" w:type="dxa"/>
              <w:right w:w="120" w:type="dxa"/>
            </w:tcMar>
            <w:vAlign w:val="center"/>
          </w:tcPr>
          <w:p>
            <w:pPr>
              <w:spacing w:line="264" w:lineRule="auto"/>
              <w:jc w:val="left"/>
            </w:pPr>
            <w:r/>
            <w:r>
              <w:rPr>
                <w:rFonts w:ascii="Segoe UI" w:hAnsi="Segoe UI"/>
                <w:color w:val="1F2937"/>
                <w:sz w:val="17"/>
              </w:rPr>
              <w:t>4 / 4 Başarılı</w:t>
              <w:br/>
              <w:t>(%100)</w:t>
            </w:r>
          </w:p>
        </w:tc>
      </w:tr>
      <w:tr>
        <w:tc>
          <w:tcPr>
            <w:tcW w:type="dxa" w:w="1872"/>
            <w:shd w:fill="F8FAFC"/>
            <w:tcMar>
              <w:top w:w="85" w:type="dxa"/>
              <w:bottom w:w="85" w:type="dxa"/>
              <w:left w:w="120" w:type="dxa"/>
              <w:right w:w="120" w:type="dxa"/>
            </w:tcMar>
            <w:vAlign w:val="center"/>
          </w:tcPr>
          <w:p>
            <w:pPr>
              <w:spacing w:line="264" w:lineRule="auto"/>
              <w:jc w:val="left"/>
            </w:pPr>
            <w:r/>
            <w:r>
              <w:rPr>
                <w:rFonts w:ascii="Segoe UI" w:hAnsi="Segoe UI"/>
                <w:b/>
                <w:color w:val="0F172A"/>
                <w:sz w:val="17"/>
              </w:rPr>
              <w:t>Modül 4</w:t>
              <w:br/>
              <w:t>(Masaüstü Motoru)</w:t>
            </w:r>
          </w:p>
        </w:tc>
        <w:tc>
          <w:tcPr>
            <w:tcW w:type="dxa" w:w="2448"/>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engine.test.js</w:t>
            </w:r>
          </w:p>
        </w:tc>
        <w:tc>
          <w:tcPr>
            <w:tcW w:type="dxa" w:w="3744"/>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1) Başvuru oluşturma ve araştırmacı ID tip normalizasyonu</w:t>
              <w:br/>
              <w:t>2) Türkçe karakter duyarlı otomatik raportör ataması</w:t>
              <w:br/>
              <w:t>3) İlk raportör onayı sonrası anında otomatik karar &amp; belge oluşumu</w:t>
              <w:br/>
              <w:t>4) İkinci raportör onayı sonrası karar no korunarak 2 imzalı güncelleme</w:t>
              <w:br/>
              <w:t>5) Kriptografik belge doğrulama testi</w:t>
              <w:br/>
              <w:t>6) Revizyon kararı ve revizyon sonrası onay geçiş testi</w:t>
              <w:br/>
              <w:t>7) reconcileState() ile geçmiş değerlendirmelerin otomatik kurtarılması</w:t>
            </w:r>
          </w:p>
        </w:tc>
        <w:tc>
          <w:tcPr>
            <w:tcW w:type="dxa" w:w="1440"/>
            <w:shd w:fill="F8FAFC"/>
            <w:tcMar>
              <w:top w:w="85" w:type="dxa"/>
              <w:bottom w:w="85" w:type="dxa"/>
              <w:left w:w="120" w:type="dxa"/>
              <w:right w:w="120" w:type="dxa"/>
            </w:tcMar>
            <w:vAlign w:val="center"/>
          </w:tcPr>
          <w:p>
            <w:pPr>
              <w:spacing w:line="264" w:lineRule="auto"/>
              <w:jc w:val="left"/>
            </w:pPr>
            <w:r/>
            <w:r>
              <w:rPr>
                <w:rFonts w:ascii="Segoe UI" w:hAnsi="Segoe UI"/>
                <w:color w:val="1F2937"/>
                <w:sz w:val="17"/>
              </w:rPr>
              <w:t>7 / 7 Başarılı</w:t>
              <w:br/>
              <w:t>(%100)</w:t>
            </w:r>
          </w:p>
        </w:tc>
      </w:tr>
    </w:tbl>
    <w:p/>
    <w:p>
      <w:r>
        <w:br w:type="page"/>
      </w:r>
    </w:p>
    <w:p>
      <w:pPr>
        <w:pStyle w:val="Heading1"/>
        <w:spacing w:before="240" w:after="80"/>
      </w:pPr>
      <w:r>
        <w:rPr>
          <w:rFonts w:ascii="Segoe UI" w:hAnsi="Segoe UI"/>
          <w:color w:val="1E3C72"/>
          <w:sz w:val="29"/>
        </w:rPr>
        <w:t>7. Kaynakça (References)</w:t>
      </w:r>
    </w:p>
    <w:p>
      <w:pPr>
        <w:spacing w:line="283" w:lineRule="auto" w:after="120"/>
        <w:ind w:firstLine="360"/>
        <w:jc w:val="both"/>
      </w:pPr>
      <w:r>
        <w:rPr>
          <w:rFonts w:ascii="Segoe UI" w:hAnsi="Segoe UI"/>
          <w:color w:val="1F2937"/>
          <w:sz w:val="20"/>
        </w:rPr>
        <w:t>Rapor boyunca metin içinde köşeli parantez (</w:t>
      </w:r>
      <w:r>
        <w:rPr>
          <w:rFonts w:ascii="Segoe UI" w:hAnsi="Segoe UI"/>
          <w:b/>
          <w:color w:val="1E3C72"/>
          <w:sz w:val="20"/>
        </w:rPr>
        <w:t>[1]</w:t>
      </w:r>
      <w:r>
        <w:rPr>
          <w:rFonts w:ascii="Segoe UI" w:hAnsi="Segoe UI"/>
          <w:color w:val="1F2937"/>
          <w:sz w:val="20"/>
        </w:rPr>
        <w:t xml:space="preserve"> – </w:t>
      </w:r>
      <w:r>
        <w:rPr>
          <w:rFonts w:ascii="Segoe UI" w:hAnsi="Segoe UI"/>
          <w:b/>
          <w:color w:val="1E3C72"/>
          <w:sz w:val="20"/>
        </w:rPr>
        <w:t>[74]</w:t>
      </w:r>
      <w:r>
        <w:rPr>
          <w:rFonts w:ascii="Segoe UI" w:hAnsi="Segoe UI"/>
          <w:color w:val="1F2937"/>
          <w:sz w:val="20"/>
        </w:rPr>
        <w:t>) ile atıf yapılan tüm uluslararası ve ulusal akademik çalışmalar, kurumsal standart çalışma prosedürleri (SOP) ve mevzuat kaynakları aşağıda sırasıyla listelenmiştir:</w:t>
      </w:r>
    </w:p>
    <w:p>
      <w:pPr>
        <w:spacing w:line="269" w:lineRule="auto" w:after="70"/>
        <w:ind w:left="504" w:hanging="504"/>
        <w:jc w:val="left"/>
      </w:pPr>
      <w:r>
        <w:rPr>
          <w:rFonts w:ascii="Segoe UI" w:hAnsi="Segoe UI"/>
          <w:b/>
          <w:color w:val="1E3C72"/>
          <w:sz w:val="17"/>
        </w:rPr>
        <w:t xml:space="preserve">[1] </w:t>
      </w:r>
      <w:r>
        <w:rPr>
          <w:rFonts w:ascii="Segoe UI" w:hAnsi="Segoe UI"/>
          <w:color w:val="1F2937"/>
          <w:sz w:val="17"/>
        </w:rPr>
        <w:t xml:space="preserve">Reducing the Single IRB Burden: Streamlining Electronic IRB Systems. Erişim: </w:t>
      </w:r>
      <w:r>
        <w:rPr>
          <w:rFonts w:ascii="Segoe UI" w:hAnsi="Segoe UI"/>
          <w:i/>
          <w:color w:val="0284C7"/>
          <w:sz w:val="17"/>
        </w:rPr>
        <w:t>https://pmc.ncbi.nlm.nih.gov/articles/PMC9035281/</w:t>
      </w:r>
    </w:p>
    <w:p>
      <w:pPr>
        <w:spacing w:line="269" w:lineRule="auto" w:after="70"/>
        <w:ind w:left="504" w:hanging="504"/>
        <w:jc w:val="left"/>
      </w:pPr>
      <w:r>
        <w:rPr>
          <w:rFonts w:ascii="Segoe UI" w:hAnsi="Segoe UI"/>
          <w:b/>
          <w:color w:val="1E3C72"/>
          <w:sz w:val="17"/>
        </w:rPr>
        <w:t xml:space="preserve">[2] </w:t>
      </w:r>
      <w:r>
        <w:rPr>
          <w:rFonts w:ascii="Segoe UI" w:hAnsi="Segoe UI"/>
          <w:color w:val="1F2937"/>
          <w:sz w:val="17"/>
        </w:rPr>
        <w:t xml:space="preserve">Mann, S. et al. (2025). Chat-IRB? How application-specific language models can enhance research ethics review. Erişim: </w:t>
      </w:r>
      <w:r>
        <w:rPr>
          <w:rFonts w:ascii="Segoe UI" w:hAnsi="Segoe UI"/>
          <w:i/>
          <w:color w:val="0284C7"/>
          <w:sz w:val="17"/>
        </w:rPr>
        <w:t>https://www.researchgate.net/publication/394319889_Chat-IRB_How_application-specific_language_models_can_enhance_research_ethics_review</w:t>
      </w:r>
    </w:p>
    <w:p>
      <w:pPr>
        <w:spacing w:line="269" w:lineRule="auto" w:after="70"/>
        <w:ind w:left="504" w:hanging="504"/>
        <w:jc w:val="left"/>
      </w:pPr>
      <w:r>
        <w:rPr>
          <w:rFonts w:ascii="Segoe UI" w:hAnsi="Segoe UI"/>
          <w:b/>
          <w:color w:val="1E3C72"/>
          <w:sz w:val="17"/>
        </w:rPr>
        <w:t xml:space="preserve">[3] </w:t>
      </w:r>
      <w:r>
        <w:rPr>
          <w:rFonts w:ascii="Segoe UI" w:hAnsi="Segoe UI"/>
          <w:color w:val="1F2937"/>
          <w:sz w:val="17"/>
        </w:rPr>
        <w:t xml:space="preserve">University of Kentucky Office of Research Integrity. IRB Frequently Asked Questions | UK Research. Erişim: </w:t>
      </w:r>
      <w:r>
        <w:rPr>
          <w:rFonts w:ascii="Segoe UI" w:hAnsi="Segoe UI"/>
          <w:i/>
          <w:color w:val="0284C7"/>
          <w:sz w:val="17"/>
        </w:rPr>
        <w:t>https://research.uky.edu/office-research-integrity/faqs/irb</w:t>
      </w:r>
    </w:p>
    <w:p>
      <w:pPr>
        <w:spacing w:line="269" w:lineRule="auto" w:after="70"/>
        <w:ind w:left="504" w:hanging="504"/>
        <w:jc w:val="left"/>
      </w:pPr>
      <w:r>
        <w:rPr>
          <w:rFonts w:ascii="Segoe UI" w:hAnsi="Segoe UI"/>
          <w:b/>
          <w:color w:val="1E3C72"/>
          <w:sz w:val="17"/>
        </w:rPr>
        <w:t xml:space="preserve">[4] </w:t>
      </w:r>
      <w:r>
        <w:rPr>
          <w:rFonts w:ascii="Segoe UI" w:hAnsi="Segoe UI"/>
          <w:color w:val="1F2937"/>
          <w:sz w:val="17"/>
        </w:rPr>
        <w:t xml:space="preserve">Edith Cowan University (ECU). Research Ethics Management System (REMS) Proportional Review Checklist User Manual. Erişim: </w:t>
      </w:r>
      <w:r>
        <w:rPr>
          <w:rFonts w:ascii="Segoe UI" w:hAnsi="Segoe UI"/>
          <w:i/>
          <w:color w:val="0284C7"/>
          <w:sz w:val="17"/>
        </w:rPr>
        <w:t>https://intranet.ecu.edu.au/__data/assets/pdf_file/0016/807100/ECU-REMS-Proportional-Review-Checklist-User-Manual.pdf</w:t>
      </w:r>
    </w:p>
    <w:p>
      <w:pPr>
        <w:spacing w:line="269" w:lineRule="auto" w:after="70"/>
        <w:ind w:left="504" w:hanging="504"/>
        <w:jc w:val="left"/>
      </w:pPr>
      <w:r>
        <w:rPr>
          <w:rFonts w:ascii="Segoe UI" w:hAnsi="Segoe UI"/>
          <w:b/>
          <w:color w:val="1E3C72"/>
          <w:sz w:val="17"/>
        </w:rPr>
        <w:t xml:space="preserve">[5] </w:t>
      </w:r>
      <w:r>
        <w:rPr>
          <w:rFonts w:ascii="Segoe UI" w:hAnsi="Segoe UI"/>
          <w:color w:val="1F2937"/>
          <w:sz w:val="17"/>
        </w:rPr>
        <w:t xml:space="preserve">Mkumbwa, S. et al. (2025). Going paperless: the strengths and limitations of electronic research ethics information management system (PubMed). Erişim: </w:t>
      </w:r>
      <w:r>
        <w:rPr>
          <w:rFonts w:ascii="Segoe UI" w:hAnsi="Segoe UI"/>
          <w:i/>
          <w:color w:val="0284C7"/>
          <w:sz w:val="17"/>
        </w:rPr>
        <w:t>https://pubmed.ncbi.nlm.nih.gov/39754181/</w:t>
      </w:r>
    </w:p>
    <w:p>
      <w:pPr>
        <w:spacing w:line="269" w:lineRule="auto" w:after="70"/>
        <w:ind w:left="504" w:hanging="504"/>
        <w:jc w:val="left"/>
      </w:pPr>
      <w:r>
        <w:rPr>
          <w:rFonts w:ascii="Segoe UI" w:hAnsi="Segoe UI"/>
          <w:b/>
          <w:color w:val="1E3C72"/>
          <w:sz w:val="17"/>
        </w:rPr>
        <w:t xml:space="preserve">[6] </w:t>
      </w:r>
      <w:r>
        <w:rPr>
          <w:rFonts w:ascii="Segoe UI" w:hAnsi="Segoe UI"/>
          <w:color w:val="1F2937"/>
          <w:sz w:val="17"/>
        </w:rPr>
        <w:t xml:space="preserve">Mkumbwa, S. et al. (2025). Going paperless: the strengths and limitations of electronic research ethics information management system in Tanzania. Erişim: </w:t>
      </w:r>
      <w:r>
        <w:rPr>
          <w:rFonts w:ascii="Segoe UI" w:hAnsi="Segoe UI"/>
          <w:i/>
          <w:color w:val="0284C7"/>
          <w:sz w:val="17"/>
        </w:rPr>
        <w:t>https://pmc.ncbi.nlm.nih.gov/articles/PMC11697796/</w:t>
      </w:r>
    </w:p>
    <w:p>
      <w:pPr>
        <w:spacing w:line="269" w:lineRule="auto" w:after="70"/>
        <w:ind w:left="504" w:hanging="504"/>
        <w:jc w:val="left"/>
      </w:pPr>
      <w:r>
        <w:rPr>
          <w:rFonts w:ascii="Segoe UI" w:hAnsi="Segoe UI"/>
          <w:b/>
          <w:color w:val="1E3C72"/>
          <w:sz w:val="17"/>
        </w:rPr>
        <w:t xml:space="preserve">[7] </w:t>
      </w:r>
      <w:r>
        <w:rPr>
          <w:rFonts w:ascii="Segoe UI" w:hAnsi="Segoe UI"/>
          <w:color w:val="1F2937"/>
          <w:sz w:val="17"/>
        </w:rPr>
        <w:t xml:space="preserve">RHInnO Ethics Platform. Expert-Decision Support System for Research Ethics Committees. Erişim: </w:t>
      </w:r>
      <w:r>
        <w:rPr>
          <w:rFonts w:ascii="Segoe UI" w:hAnsi="Segoe UI"/>
          <w:i/>
          <w:color w:val="0284C7"/>
          <w:sz w:val="17"/>
        </w:rPr>
        <w:t>https://www.rhinno.app/about_us</w:t>
      </w:r>
    </w:p>
    <w:p>
      <w:pPr>
        <w:spacing w:line="269" w:lineRule="auto" w:after="70"/>
        <w:ind w:left="504" w:hanging="504"/>
        <w:jc w:val="left"/>
      </w:pPr>
      <w:r>
        <w:rPr>
          <w:rFonts w:ascii="Segoe UI" w:hAnsi="Segoe UI"/>
          <w:b/>
          <w:color w:val="1E3C72"/>
          <w:sz w:val="17"/>
        </w:rPr>
        <w:t xml:space="preserve">[8] </w:t>
      </w:r>
      <w:r>
        <w:rPr>
          <w:rFonts w:ascii="Segoe UI" w:hAnsi="Segoe UI"/>
          <w:color w:val="1F2937"/>
          <w:sz w:val="17"/>
        </w:rPr>
        <w:t xml:space="preserve">Directory of Open Access Journals (DOAJ). Going paperless: electronic research ethics information management systems. Erişim: </w:t>
      </w:r>
      <w:r>
        <w:rPr>
          <w:rFonts w:ascii="Segoe UI" w:hAnsi="Segoe UI"/>
          <w:i/>
          <w:color w:val="0284C7"/>
          <w:sz w:val="17"/>
        </w:rPr>
        <w:t>https://196.43.162.77/Record/doaj-art-2580422c72504460ab653887c867735f?sid=1500045</w:t>
      </w:r>
    </w:p>
    <w:p>
      <w:pPr>
        <w:spacing w:line="269" w:lineRule="auto" w:after="70"/>
        <w:ind w:left="504" w:hanging="504"/>
        <w:jc w:val="left"/>
      </w:pPr>
      <w:r>
        <w:rPr>
          <w:rFonts w:ascii="Segoe UI" w:hAnsi="Segoe UI"/>
          <w:b/>
          <w:color w:val="1E3C72"/>
          <w:sz w:val="17"/>
        </w:rPr>
        <w:t xml:space="preserve">[9] </w:t>
      </w:r>
      <w:r>
        <w:rPr>
          <w:rFonts w:ascii="Segoe UI" w:hAnsi="Segoe UI"/>
          <w:color w:val="1F2937"/>
          <w:sz w:val="17"/>
        </w:rPr>
        <w:t xml:space="preserve">Chulalongkorn University Research Ethics Committee (CUREC). Assessing satisfaction and performance of the CUREC electronic submission system. Erişim: </w:t>
      </w:r>
      <w:r>
        <w:rPr>
          <w:rFonts w:ascii="Segoe UI" w:hAnsi="Segoe UI"/>
          <w:i/>
          <w:color w:val="0284C7"/>
          <w:sz w:val="17"/>
        </w:rPr>
        <w:t>https://pmc.ncbi.nlm.nih.gov/articles/PMC12910995/</w:t>
      </w:r>
    </w:p>
    <w:p>
      <w:pPr>
        <w:spacing w:line="269" w:lineRule="auto" w:after="70"/>
        <w:ind w:left="504" w:hanging="504"/>
        <w:jc w:val="left"/>
      </w:pPr>
      <w:r>
        <w:rPr>
          <w:rFonts w:ascii="Segoe UI" w:hAnsi="Segoe UI"/>
          <w:b/>
          <w:color w:val="1E3C72"/>
          <w:sz w:val="17"/>
        </w:rPr>
        <w:t xml:space="preserve">[10] </w:t>
      </w:r>
      <w:r>
        <w:rPr>
          <w:rFonts w:ascii="Segoe UI" w:hAnsi="Segoe UI"/>
          <w:color w:val="1F2937"/>
          <w:sz w:val="17"/>
        </w:rPr>
        <w:t xml:space="preserve">Seneka Yazılım / ONAYLARIM. Etik Kurul Başvurularında e-İmza ve Dijital Onay (5070 Sayılı Elektronik İmza Kanunu Uygulamaları). Erişim: </w:t>
      </w:r>
      <w:r>
        <w:rPr>
          <w:rFonts w:ascii="Segoe UI" w:hAnsi="Segoe UI"/>
          <w:i/>
          <w:color w:val="0284C7"/>
          <w:sz w:val="17"/>
        </w:rPr>
        <w:t>https://seneka.com.tr/blog/etik-kurul-basvurusu-islak-imza-elden-teslim</w:t>
      </w:r>
    </w:p>
    <w:p>
      <w:pPr>
        <w:spacing w:line="269" w:lineRule="auto" w:after="70"/>
        <w:ind w:left="504" w:hanging="504"/>
        <w:jc w:val="left"/>
      </w:pPr>
      <w:r>
        <w:rPr>
          <w:rFonts w:ascii="Segoe UI" w:hAnsi="Segoe UI"/>
          <w:b/>
          <w:color w:val="1E3C72"/>
          <w:sz w:val="17"/>
        </w:rPr>
        <w:t xml:space="preserve">[11] </w:t>
      </w:r>
      <w:r>
        <w:rPr>
          <w:rFonts w:ascii="Segoe UI" w:hAnsi="Segoe UI"/>
          <w:color w:val="1F2937"/>
          <w:sz w:val="17"/>
        </w:rPr>
        <w:t xml:space="preserve">University of Arizona Research. Human Subjects Protection Program (HSPP) &amp; eIRB / Kuali Research. Erişim: </w:t>
      </w:r>
      <w:r>
        <w:rPr>
          <w:rFonts w:ascii="Segoe UI" w:hAnsi="Segoe UI"/>
          <w:i/>
          <w:color w:val="0284C7"/>
          <w:sz w:val="17"/>
        </w:rPr>
        <w:t>https://research.arizona.edu/tags/human-subjects-protection-program-hspp?page=1</w:t>
      </w:r>
    </w:p>
    <w:p>
      <w:pPr>
        <w:spacing w:line="269" w:lineRule="auto" w:after="70"/>
        <w:ind w:left="504" w:hanging="504"/>
        <w:jc w:val="left"/>
      </w:pPr>
      <w:r>
        <w:rPr>
          <w:rFonts w:ascii="Segoe UI" w:hAnsi="Segoe UI"/>
          <w:b/>
          <w:color w:val="1E3C72"/>
          <w:sz w:val="17"/>
        </w:rPr>
        <w:t xml:space="preserve">[12] </w:t>
      </w:r>
      <w:r>
        <w:rPr>
          <w:rFonts w:ascii="Segoe UI" w:hAnsi="Segoe UI"/>
          <w:color w:val="1F2937"/>
          <w:sz w:val="17"/>
        </w:rPr>
        <w:t xml:space="preserve">Bian, J. et al. CLARA: an integrated clinical research administration system. Erişim: </w:t>
      </w:r>
      <w:r>
        <w:rPr>
          <w:rFonts w:ascii="Segoe UI" w:hAnsi="Segoe UI"/>
          <w:i/>
          <w:color w:val="0284C7"/>
          <w:sz w:val="17"/>
        </w:rPr>
        <w:t>https://www.researchgate.net/publication/261956542_CLARA_an_integrated_clinical_research_administration_system</w:t>
      </w:r>
    </w:p>
    <w:p>
      <w:pPr>
        <w:spacing w:line="269" w:lineRule="auto" w:after="70"/>
        <w:ind w:left="504" w:hanging="504"/>
        <w:jc w:val="left"/>
      </w:pPr>
      <w:r>
        <w:rPr>
          <w:rFonts w:ascii="Segoe UI" w:hAnsi="Segoe UI"/>
          <w:b/>
          <w:color w:val="1E3C72"/>
          <w:sz w:val="17"/>
        </w:rPr>
        <w:t xml:space="preserve">[13] </w:t>
      </w:r>
      <w:r>
        <w:rPr>
          <w:rFonts w:ascii="Segoe UI" w:hAnsi="Segoe UI"/>
          <w:color w:val="1F2937"/>
          <w:sz w:val="17"/>
        </w:rPr>
        <w:t xml:space="preserve">Mkumbwa, S. et al. (2025). Going paperless: the strengths and limitations of electronic REIMS in a health training institution in Tanzania. Erişim: </w:t>
      </w:r>
      <w:r>
        <w:rPr>
          <w:rFonts w:ascii="Segoe UI" w:hAnsi="Segoe UI"/>
          <w:i/>
          <w:color w:val="0284C7"/>
          <w:sz w:val="17"/>
        </w:rPr>
        <w:t>https://www.researchgate.net/publication/387708240_Going_paperless_the_strengths_and_limitations_of_electronic_research_ethics_information_management_system_in_a_health_training_institution_in_Tanzania</w:t>
      </w:r>
    </w:p>
    <w:p>
      <w:pPr>
        <w:spacing w:line="269" w:lineRule="auto" w:after="70"/>
        <w:ind w:left="504" w:hanging="504"/>
        <w:jc w:val="left"/>
      </w:pPr>
      <w:r>
        <w:rPr>
          <w:rFonts w:ascii="Segoe UI" w:hAnsi="Segoe UI"/>
          <w:b/>
          <w:color w:val="1E3C72"/>
          <w:sz w:val="17"/>
        </w:rPr>
        <w:t xml:space="preserve">[14] </w:t>
      </w:r>
      <w:r>
        <w:rPr>
          <w:rFonts w:ascii="Segoe UI" w:hAnsi="Segoe UI"/>
          <w:color w:val="1F2937"/>
          <w:sz w:val="17"/>
        </w:rPr>
        <w:t xml:space="preserve">University of California, Irvine (UC Irvine) Office of Research. Post-Review Responsibilities &amp; ZOT IRB System. Erişim: </w:t>
      </w:r>
      <w:r>
        <w:rPr>
          <w:rFonts w:ascii="Segoe UI" w:hAnsi="Segoe UI"/>
          <w:i/>
          <w:color w:val="0284C7"/>
          <w:sz w:val="17"/>
        </w:rPr>
        <w:t>https://research.uci.edu/human-research-protections/post-review-responsibilities/</w:t>
      </w:r>
    </w:p>
    <w:p>
      <w:pPr>
        <w:spacing w:line="269" w:lineRule="auto" w:after="70"/>
        <w:ind w:left="504" w:hanging="504"/>
        <w:jc w:val="left"/>
      </w:pPr>
      <w:r>
        <w:rPr>
          <w:rFonts w:ascii="Segoe UI" w:hAnsi="Segoe UI"/>
          <w:b/>
          <w:color w:val="1E3C72"/>
          <w:sz w:val="17"/>
        </w:rPr>
        <w:t xml:space="preserve">[15] </w:t>
      </w:r>
      <w:r>
        <w:rPr>
          <w:rFonts w:ascii="Segoe UI" w:hAnsi="Segoe UI"/>
          <w:color w:val="1F2937"/>
          <w:sz w:val="17"/>
        </w:rPr>
        <w:t xml:space="preserve">Rutgers University / NJ ACTS. Electronic IRB Review Performance During COVID-19 Surge. Erişim: </w:t>
      </w:r>
      <w:r>
        <w:rPr>
          <w:rFonts w:ascii="Segoe UI" w:hAnsi="Segoe UI"/>
          <w:i/>
          <w:color w:val="0284C7"/>
          <w:sz w:val="17"/>
        </w:rPr>
        <w:t>https://pmc.ncbi.nlm.nih.gov/articles/PMC9161045/</w:t>
      </w:r>
    </w:p>
    <w:p>
      <w:pPr>
        <w:spacing w:line="269" w:lineRule="auto" w:after="70"/>
        <w:ind w:left="504" w:hanging="504"/>
        <w:jc w:val="left"/>
      </w:pPr>
      <w:r>
        <w:rPr>
          <w:rFonts w:ascii="Segoe UI" w:hAnsi="Segoe UI"/>
          <w:b/>
          <w:color w:val="1E3C72"/>
          <w:sz w:val="17"/>
        </w:rPr>
        <w:t xml:space="preserve">[16] </w:t>
      </w:r>
      <w:r>
        <w:rPr>
          <w:rFonts w:ascii="Segoe UI" w:hAnsi="Segoe UI"/>
          <w:color w:val="1F2937"/>
          <w:sz w:val="17"/>
        </w:rPr>
        <w:t xml:space="preserve">Boston University Medical Campus (BUMC). IRB Review Times and User Satisfaction (INSPIR II Analytics). Erişim: </w:t>
      </w:r>
      <w:r>
        <w:rPr>
          <w:rFonts w:ascii="Segoe UI" w:hAnsi="Segoe UI"/>
          <w:i/>
          <w:color w:val="0284C7"/>
          <w:sz w:val="17"/>
        </w:rPr>
        <w:t>https://www.bumc.bu.edu/irb/bumcirb/irb-review-time/</w:t>
      </w:r>
    </w:p>
    <w:p>
      <w:pPr>
        <w:spacing w:line="269" w:lineRule="auto" w:after="70"/>
        <w:ind w:left="504" w:hanging="504"/>
        <w:jc w:val="left"/>
      </w:pPr>
      <w:r>
        <w:rPr>
          <w:rFonts w:ascii="Segoe UI" w:hAnsi="Segoe UI"/>
          <w:b/>
          <w:color w:val="1E3C72"/>
          <w:sz w:val="17"/>
        </w:rPr>
        <w:t xml:space="preserve">[17] </w:t>
      </w:r>
      <w:r>
        <w:rPr>
          <w:rFonts w:ascii="Segoe UI" w:hAnsi="Segoe UI"/>
          <w:color w:val="1F2937"/>
          <w:sz w:val="17"/>
        </w:rPr>
        <w:t xml:space="preserve">Johns Hopkins University / JScholarship. Digital Modernization of VA IRB Processes: Designing an Integrated e-IRB Architecture. Erişim: </w:t>
      </w:r>
      <w:r>
        <w:rPr>
          <w:rFonts w:ascii="Segoe UI" w:hAnsi="Segoe UI"/>
          <w:i/>
          <w:color w:val="0284C7"/>
          <w:sz w:val="17"/>
        </w:rPr>
        <w:t>https://jscholarship.library.jhu.edu/server/api/core/bitstreams/7315e5ec-45c1-4607-8f20-70e08fb80bfe/content</w:t>
      </w:r>
    </w:p>
    <w:p>
      <w:pPr>
        <w:spacing w:line="269" w:lineRule="auto" w:after="70"/>
        <w:ind w:left="504" w:hanging="504"/>
        <w:jc w:val="left"/>
      </w:pPr>
      <w:r>
        <w:rPr>
          <w:rFonts w:ascii="Segoe UI" w:hAnsi="Segoe UI"/>
          <w:b/>
          <w:color w:val="1E3C72"/>
          <w:sz w:val="17"/>
        </w:rPr>
        <w:t xml:space="preserve">[18] </w:t>
      </w:r>
      <w:r>
        <w:rPr>
          <w:rFonts w:ascii="Segoe UI" w:hAnsi="Segoe UI"/>
          <w:color w:val="1F2937"/>
          <w:sz w:val="17"/>
        </w:rPr>
        <w:t xml:space="preserve">University of Pennsylvania (Penn IRB). eIRB Frequently Asked Questions &amp; Proxy Access Management. Erişim: </w:t>
      </w:r>
      <w:r>
        <w:rPr>
          <w:rFonts w:ascii="Segoe UI" w:hAnsi="Segoe UI"/>
          <w:i/>
          <w:color w:val="0284C7"/>
          <w:sz w:val="17"/>
        </w:rPr>
        <w:t>https://irb.upenn.edu/homepage/faqs/eirb-faqs/</w:t>
      </w:r>
    </w:p>
    <w:p>
      <w:pPr>
        <w:spacing w:line="269" w:lineRule="auto" w:after="70"/>
        <w:ind w:left="504" w:hanging="504"/>
        <w:jc w:val="left"/>
      </w:pPr>
      <w:r>
        <w:rPr>
          <w:rFonts w:ascii="Segoe UI" w:hAnsi="Segoe UI"/>
          <w:b/>
          <w:color w:val="1E3C72"/>
          <w:sz w:val="17"/>
        </w:rPr>
        <w:t xml:space="preserve">[19] </w:t>
      </w:r>
      <w:r>
        <w:rPr>
          <w:rFonts w:ascii="Segoe UI" w:hAnsi="Segoe UI"/>
          <w:color w:val="1F2937"/>
          <w:sz w:val="17"/>
        </w:rPr>
        <w:t xml:space="preserve">Netiket Bilişim. Çoklu Etik Kurul Başvuru ve Değerlendirme Otomasyonu (e-Devlet SSO &amp; Otomatik Karar Şablonu). Erişim: </w:t>
      </w:r>
      <w:r>
        <w:rPr>
          <w:rFonts w:ascii="Segoe UI" w:hAnsi="Segoe UI"/>
          <w:i/>
          <w:color w:val="0284C7"/>
          <w:sz w:val="17"/>
        </w:rPr>
        <w:t>https://www.netiket.com.tr/services/etik-kurul</w:t>
      </w:r>
    </w:p>
    <w:p>
      <w:pPr>
        <w:spacing w:line="269" w:lineRule="auto" w:after="70"/>
        <w:ind w:left="504" w:hanging="504"/>
        <w:jc w:val="left"/>
      </w:pPr>
      <w:r>
        <w:rPr>
          <w:rFonts w:ascii="Segoe UI" w:hAnsi="Segoe UI"/>
          <w:b/>
          <w:color w:val="1E3C72"/>
          <w:sz w:val="17"/>
        </w:rPr>
        <w:t xml:space="preserve">[20] </w:t>
      </w:r>
      <w:r>
        <w:rPr>
          <w:rFonts w:ascii="Segoe UI" w:hAnsi="Segoe UI"/>
          <w:color w:val="1F2937"/>
          <w:sz w:val="17"/>
        </w:rPr>
        <w:t xml:space="preserve">Korea Disease Control and Prevention Agency (KDCA) (2026). Introduction to the Revised Standard Operating Procedures of the Institutional Review Board. Erişim: </w:t>
      </w:r>
      <w:r>
        <w:rPr>
          <w:rFonts w:ascii="Segoe UI" w:hAnsi="Segoe UI"/>
          <w:i/>
          <w:color w:val="0284C7"/>
          <w:sz w:val="17"/>
        </w:rPr>
        <w:t>https://eng.phwr.org/journal/view.html?doi=10.56786/PHWR.2026.19.5.3</w:t>
      </w:r>
    </w:p>
    <w:p>
      <w:pPr>
        <w:spacing w:line="269" w:lineRule="auto" w:after="70"/>
        <w:ind w:left="504" w:hanging="504"/>
        <w:jc w:val="left"/>
      </w:pPr>
      <w:r>
        <w:rPr>
          <w:rFonts w:ascii="Segoe UI" w:hAnsi="Segoe UI"/>
          <w:b/>
          <w:color w:val="1E3C72"/>
          <w:sz w:val="17"/>
        </w:rPr>
        <w:t xml:space="preserve">[21] </w:t>
      </w:r>
      <w:r>
        <w:rPr>
          <w:rFonts w:ascii="Segoe UI" w:hAnsi="Segoe UI"/>
          <w:color w:val="1F2937"/>
          <w:sz w:val="17"/>
        </w:rPr>
        <w:t xml:space="preserve">Bioethics &amp; Science Portal. Navigating IRB Expedited Review for Minor Changes: A Researcher's Guide to Efficient Protocol Modifications. Erişim: </w:t>
      </w:r>
      <w:r>
        <w:rPr>
          <w:rFonts w:ascii="Segoe UI" w:hAnsi="Segoe UI"/>
          <w:i/>
          <w:color w:val="0284C7"/>
          <w:sz w:val="17"/>
        </w:rPr>
        <w:t>https://www.bioethicssci.com/posts/navigating-irb-expedited-review-for-minor-changes-a-researchers-guide-to-efficient-protocol-modifications</w:t>
      </w:r>
    </w:p>
    <w:p>
      <w:pPr>
        <w:spacing w:line="269" w:lineRule="auto" w:after="70"/>
        <w:ind w:left="504" w:hanging="504"/>
        <w:jc w:val="left"/>
      </w:pPr>
      <w:r>
        <w:rPr>
          <w:rFonts w:ascii="Segoe UI" w:hAnsi="Segoe UI"/>
          <w:b/>
          <w:color w:val="1E3C72"/>
          <w:sz w:val="17"/>
        </w:rPr>
        <w:t xml:space="preserve">[22] </w:t>
      </w:r>
      <w:r>
        <w:rPr>
          <w:rFonts w:ascii="Segoe UI" w:hAnsi="Segoe UI"/>
          <w:color w:val="1F2937"/>
          <w:sz w:val="17"/>
        </w:rPr>
        <w:t xml:space="preserve">SciSpace Agents. Institutional Review Board (IRB) Checklist &amp; Automated Protocol Compliance Guide. Erişim: </w:t>
      </w:r>
      <w:r>
        <w:rPr>
          <w:rFonts w:ascii="Segoe UI" w:hAnsi="Segoe UI"/>
          <w:i/>
          <w:color w:val="0284C7"/>
          <w:sz w:val="17"/>
        </w:rPr>
        <w:t>https://scispace.com/agents/institutional-review-board-irb-checklist-8ahhkxg6</w:t>
      </w:r>
    </w:p>
    <w:p>
      <w:pPr>
        <w:spacing w:line="269" w:lineRule="auto" w:after="70"/>
        <w:ind w:left="504" w:hanging="504"/>
        <w:jc w:val="left"/>
      </w:pPr>
      <w:r>
        <w:rPr>
          <w:rFonts w:ascii="Segoe UI" w:hAnsi="Segoe UI"/>
          <w:b/>
          <w:color w:val="1E3C72"/>
          <w:sz w:val="17"/>
        </w:rPr>
        <w:t xml:space="preserve">[23] </w:t>
      </w:r>
      <w:r>
        <w:rPr>
          <w:rFonts w:ascii="Segoe UI" w:hAnsi="Segoe UI"/>
          <w:color w:val="1F2937"/>
          <w:sz w:val="17"/>
        </w:rPr>
        <w:t xml:space="preserve">University of Kentucky Office of Research Integrity (ORI). Frequently Asked Questions on Electronic Submissions. Erişim: </w:t>
      </w:r>
      <w:r>
        <w:rPr>
          <w:rFonts w:ascii="Segoe UI" w:hAnsi="Segoe UI"/>
          <w:i/>
          <w:color w:val="0284C7"/>
          <w:sz w:val="17"/>
        </w:rPr>
        <w:t>https://research.uky.edu/office-research-integrity/faqs</w:t>
      </w:r>
    </w:p>
    <w:p>
      <w:pPr>
        <w:spacing w:line="269" w:lineRule="auto" w:after="70"/>
        <w:ind w:left="504" w:hanging="504"/>
        <w:jc w:val="left"/>
      </w:pPr>
      <w:r>
        <w:rPr>
          <w:rFonts w:ascii="Segoe UI" w:hAnsi="Segoe UI"/>
          <w:b/>
          <w:color w:val="1E3C72"/>
          <w:sz w:val="17"/>
        </w:rPr>
        <w:t xml:space="preserve">[24] </w:t>
      </w:r>
      <w:r>
        <w:rPr>
          <w:rFonts w:ascii="Segoe UI" w:hAnsi="Segoe UI"/>
          <w:color w:val="1F2937"/>
          <w:sz w:val="17"/>
        </w:rPr>
        <w:t xml:space="preserve">Implementation of single IRB review for multisite human subjects research: Turnaround time benchmarks. Erişim: </w:t>
      </w:r>
      <w:r>
        <w:rPr>
          <w:rFonts w:ascii="Segoe UI" w:hAnsi="Segoe UI"/>
          <w:i/>
          <w:color w:val="0284C7"/>
          <w:sz w:val="17"/>
        </w:rPr>
        <w:t>https://pmc.ncbi.nlm.nih.gov/articles/PMC10225260/</w:t>
      </w:r>
    </w:p>
    <w:p>
      <w:pPr>
        <w:spacing w:line="269" w:lineRule="auto" w:after="70"/>
        <w:ind w:left="504" w:hanging="504"/>
        <w:jc w:val="left"/>
      </w:pPr>
      <w:r>
        <w:rPr>
          <w:rFonts w:ascii="Segoe UI" w:hAnsi="Segoe UI"/>
          <w:b/>
          <w:color w:val="1E3C72"/>
          <w:sz w:val="17"/>
        </w:rPr>
        <w:t xml:space="preserve">[25] </w:t>
      </w:r>
      <w:r>
        <w:rPr>
          <w:rFonts w:ascii="Segoe UI" w:hAnsi="Segoe UI"/>
          <w:color w:val="1F2937"/>
          <w:sz w:val="17"/>
        </w:rPr>
        <w:t xml:space="preserve">Medical College of Wisconsin (MCW). The Real-Time IRB: A Collaborative Innovation to Decrease Turnaround Time. Erişim: </w:t>
      </w:r>
      <w:r>
        <w:rPr>
          <w:rFonts w:ascii="Segoe UI" w:hAnsi="Segoe UI"/>
          <w:i/>
          <w:color w:val="0284C7"/>
          <w:sz w:val="17"/>
        </w:rPr>
        <w:t>https://pmc.ncbi.nlm.nih.gov/articles/PMC6146014/</w:t>
      </w:r>
    </w:p>
    <w:p>
      <w:pPr>
        <w:spacing w:line="269" w:lineRule="auto" w:after="70"/>
        <w:ind w:left="504" w:hanging="504"/>
        <w:jc w:val="left"/>
      </w:pPr>
      <w:r>
        <w:rPr>
          <w:rFonts w:ascii="Segoe UI" w:hAnsi="Segoe UI"/>
          <w:b/>
          <w:color w:val="1E3C72"/>
          <w:sz w:val="17"/>
        </w:rPr>
        <w:t xml:space="preserve">[26] </w:t>
      </w:r>
      <w:r>
        <w:rPr>
          <w:rFonts w:ascii="Segoe UI" w:hAnsi="Segoe UI"/>
          <w:color w:val="1F2937"/>
          <w:sz w:val="17"/>
        </w:rPr>
        <w:t xml:space="preserve">Advarra Clinical Research. Choosing Your Electronic IRB System: A Guide for Research Sites and CTMS Integration. Erişim: </w:t>
      </w:r>
      <w:r>
        <w:rPr>
          <w:rFonts w:ascii="Segoe UI" w:hAnsi="Segoe UI"/>
          <w:i/>
          <w:color w:val="0284C7"/>
          <w:sz w:val="17"/>
        </w:rPr>
        <w:t>https://www.advarra.com/blog/choosing-your-electronic-irb-system-a-guide-for-sites/</w:t>
      </w:r>
    </w:p>
    <w:p>
      <w:pPr>
        <w:spacing w:line="269" w:lineRule="auto" w:after="70"/>
        <w:ind w:left="504" w:hanging="504"/>
        <w:jc w:val="left"/>
      </w:pPr>
      <w:r>
        <w:rPr>
          <w:rFonts w:ascii="Segoe UI" w:hAnsi="Segoe UI"/>
          <w:b/>
          <w:color w:val="1E3C72"/>
          <w:sz w:val="17"/>
        </w:rPr>
        <w:t xml:space="preserve">[27] </w:t>
      </w:r>
      <w:r>
        <w:rPr>
          <w:rFonts w:ascii="Segoe UI" w:hAnsi="Segoe UI"/>
          <w:color w:val="1F2937"/>
          <w:sz w:val="17"/>
        </w:rPr>
        <w:t xml:space="preserve">Fibi Research (2025). Simplifying IRB Agreements: Step-by-Step Implementation Guide for Multisite Reliance. Erişim: </w:t>
      </w:r>
      <w:r>
        <w:rPr>
          <w:rFonts w:ascii="Segoe UI" w:hAnsi="Segoe UI"/>
          <w:i/>
          <w:color w:val="0284C7"/>
          <w:sz w:val="17"/>
        </w:rPr>
        <w:t>https://fibiresearch.com/simplifying-irb-agreements-step-by-step-implementation-guide-for-2025/</w:t>
      </w:r>
    </w:p>
    <w:p>
      <w:pPr>
        <w:spacing w:line="269" w:lineRule="auto" w:after="70"/>
        <w:ind w:left="504" w:hanging="504"/>
        <w:jc w:val="left"/>
      </w:pPr>
      <w:r>
        <w:rPr>
          <w:rFonts w:ascii="Segoe UI" w:hAnsi="Segoe UI"/>
          <w:b/>
          <w:color w:val="1E3C72"/>
          <w:sz w:val="17"/>
        </w:rPr>
        <w:t xml:space="preserve">[28] </w:t>
      </w:r>
      <w:r>
        <w:rPr>
          <w:rFonts w:ascii="Segoe UI" w:hAnsi="Segoe UI"/>
          <w:color w:val="1F2937"/>
          <w:sz w:val="17"/>
        </w:rPr>
        <w:t xml:space="preserve">Garcia, M. B. Can You Use AI After Research Ethics Approval? Post-Approval Governance Guide. Erişim: </w:t>
      </w:r>
      <w:r>
        <w:rPr>
          <w:rFonts w:ascii="Segoe UI" w:hAnsi="Segoe UI"/>
          <w:i/>
          <w:color w:val="0284C7"/>
          <w:sz w:val="17"/>
        </w:rPr>
        <w:t>https://manuelgarcia.info/guides/research/guide/ai-use-after-research-ethics-approval</w:t>
      </w:r>
    </w:p>
    <w:p>
      <w:pPr>
        <w:spacing w:line="269" w:lineRule="auto" w:after="70"/>
        <w:ind w:left="504" w:hanging="504"/>
        <w:jc w:val="left"/>
      </w:pPr>
      <w:r>
        <w:rPr>
          <w:rFonts w:ascii="Segoe UI" w:hAnsi="Segoe UI"/>
          <w:b/>
          <w:color w:val="1E3C72"/>
          <w:sz w:val="17"/>
        </w:rPr>
        <w:t xml:space="preserve">[29] </w:t>
      </w:r>
      <w:r>
        <w:rPr>
          <w:rFonts w:ascii="Segoe UI" w:hAnsi="Segoe UI"/>
          <w:color w:val="1F2937"/>
          <w:sz w:val="17"/>
        </w:rPr>
        <w:t xml:space="preserve">University of the East (UE). Development and Evaluation of UE – Research Management System Using ISO/IEC 25010. Erişim: </w:t>
      </w:r>
      <w:r>
        <w:rPr>
          <w:rFonts w:ascii="Segoe UI" w:hAnsi="Segoe UI"/>
          <w:i/>
          <w:color w:val="0284C7"/>
          <w:sz w:val="17"/>
        </w:rPr>
        <w:t>https://ejournals.ph/article.php?id=34074</w:t>
      </w:r>
    </w:p>
    <w:p>
      <w:pPr>
        <w:spacing w:line="269" w:lineRule="auto" w:after="70"/>
        <w:ind w:left="504" w:hanging="504"/>
        <w:jc w:val="left"/>
      </w:pPr>
      <w:r>
        <w:rPr>
          <w:rFonts w:ascii="Segoe UI" w:hAnsi="Segoe UI"/>
          <w:b/>
          <w:color w:val="1E3C72"/>
          <w:sz w:val="17"/>
        </w:rPr>
        <w:t xml:space="preserve">[30] </w:t>
      </w:r>
      <w:r>
        <w:rPr>
          <w:rFonts w:ascii="Segoe UI" w:hAnsi="Segoe UI"/>
          <w:color w:val="1F2937"/>
          <w:sz w:val="17"/>
        </w:rPr>
        <w:t xml:space="preserve">ProQuest Dissertations. To Investigate the Impact of Data Privacy Regulation on Disclosure and Ethics Compliance. Erişim: </w:t>
      </w:r>
      <w:r>
        <w:rPr>
          <w:rFonts w:ascii="Segoe UI" w:hAnsi="Segoe UI"/>
          <w:i/>
          <w:color w:val="0284C7"/>
          <w:sz w:val="17"/>
        </w:rPr>
        <w:t>https://search.proquest.com/openview/8832aff4db5e444f898d115212ebb8a4/1?pq-origsite=gscholar&amp;cbl=18750&amp;diss=y</w:t>
      </w:r>
    </w:p>
    <w:p>
      <w:pPr>
        <w:spacing w:line="269" w:lineRule="auto" w:after="70"/>
        <w:ind w:left="504" w:hanging="504"/>
        <w:jc w:val="left"/>
      </w:pPr>
      <w:r>
        <w:rPr>
          <w:rFonts w:ascii="Segoe UI" w:hAnsi="Segoe UI"/>
          <w:b/>
          <w:color w:val="1E3C72"/>
          <w:sz w:val="17"/>
        </w:rPr>
        <w:t xml:space="preserve">[31] </w:t>
      </w:r>
      <w:r>
        <w:rPr>
          <w:rFonts w:ascii="Segoe UI" w:hAnsi="Segoe UI"/>
          <w:color w:val="1F2937"/>
          <w:sz w:val="17"/>
        </w:rPr>
        <w:t xml:space="preserve">NDLI / PubMed Central. Using Design Principles to Foster Understanding of Complex Health Research Protocols. Erişim: </w:t>
      </w:r>
      <w:r>
        <w:rPr>
          <w:rFonts w:ascii="Segoe UI" w:hAnsi="Segoe UI"/>
          <w:i/>
          <w:color w:val="0284C7"/>
          <w:sz w:val="17"/>
        </w:rPr>
        <w:t>https://ndl.iitkgp.ac.in/re_document/pubmed_central/1234567_pubmed/3041449</w:t>
      </w:r>
    </w:p>
    <w:p>
      <w:pPr>
        <w:spacing w:line="269" w:lineRule="auto" w:after="70"/>
        <w:ind w:left="504" w:hanging="504"/>
        <w:jc w:val="left"/>
      </w:pPr>
      <w:r>
        <w:rPr>
          <w:rFonts w:ascii="Segoe UI" w:hAnsi="Segoe UI"/>
          <w:b/>
          <w:color w:val="1E3C72"/>
          <w:sz w:val="17"/>
        </w:rPr>
        <w:t xml:space="preserve">[32] </w:t>
      </w:r>
      <w:r>
        <w:rPr>
          <w:rFonts w:ascii="Segoe UI" w:hAnsi="Segoe UI"/>
          <w:color w:val="1F2937"/>
          <w:sz w:val="17"/>
        </w:rPr>
        <w:t xml:space="preserve">Mayo Clinic Cancer Center. Building a Protocol Expressway: Concurrent Sub-Processes and Lean Redesign in IRB Review. Erişim: </w:t>
      </w:r>
      <w:r>
        <w:rPr>
          <w:rFonts w:ascii="Segoe UI" w:hAnsi="Segoe UI"/>
          <w:i/>
          <w:color w:val="0284C7"/>
          <w:sz w:val="17"/>
        </w:rPr>
        <w:t>https://pmc.ncbi.nlm.nih.gov/articles/PMC2727289/</w:t>
      </w:r>
    </w:p>
    <w:p>
      <w:pPr>
        <w:spacing w:line="269" w:lineRule="auto" w:after="70"/>
        <w:ind w:left="504" w:hanging="504"/>
        <w:jc w:val="left"/>
      </w:pPr>
      <w:r>
        <w:rPr>
          <w:rFonts w:ascii="Segoe UI" w:hAnsi="Segoe UI"/>
          <w:b/>
          <w:color w:val="1E3C72"/>
          <w:sz w:val="17"/>
        </w:rPr>
        <w:t xml:space="preserve">[33] </w:t>
      </w:r>
      <w:r>
        <w:rPr>
          <w:rFonts w:ascii="Segoe UI" w:hAnsi="Segoe UI"/>
          <w:color w:val="1F2937"/>
          <w:sz w:val="17"/>
        </w:rPr>
        <w:t xml:space="preserve">Notes from the Field: Jumpstarting the IRB Approval Process in Multicenter Studies. Erişim: </w:t>
      </w:r>
      <w:r>
        <w:rPr>
          <w:rFonts w:ascii="Segoe UI" w:hAnsi="Segoe UI"/>
          <w:i/>
          <w:color w:val="0284C7"/>
          <w:sz w:val="17"/>
        </w:rPr>
        <w:t>https://pmc.ncbi.nlm.nih.gov/articles/PMC1955279/</w:t>
      </w:r>
    </w:p>
    <w:p>
      <w:pPr>
        <w:spacing w:line="269" w:lineRule="auto" w:after="70"/>
        <w:ind w:left="504" w:hanging="504"/>
        <w:jc w:val="left"/>
      </w:pPr>
      <w:r>
        <w:rPr>
          <w:rFonts w:ascii="Segoe UI" w:hAnsi="Segoe UI"/>
          <w:b/>
          <w:color w:val="1E3C72"/>
          <w:sz w:val="17"/>
        </w:rPr>
        <w:t xml:space="preserve">[34] </w:t>
      </w:r>
      <w:r>
        <w:rPr>
          <w:rFonts w:ascii="Segoe UI" w:hAnsi="Segoe UI"/>
          <w:color w:val="1F2937"/>
          <w:sz w:val="17"/>
        </w:rPr>
        <w:t xml:space="preserve">Regulatory Support Improves Subsequent IRB Approval Rates in 'Not Ready for Review' (NRR) Submissions. Erişim: </w:t>
      </w:r>
      <w:r>
        <w:rPr>
          <w:rFonts w:ascii="Segoe UI" w:hAnsi="Segoe UI"/>
          <w:i/>
          <w:color w:val="0284C7"/>
          <w:sz w:val="17"/>
        </w:rPr>
        <w:t>https://pmc.ncbi.nlm.nih.gov/articles/PMC6309298/</w:t>
      </w:r>
    </w:p>
    <w:p>
      <w:pPr>
        <w:spacing w:line="269" w:lineRule="auto" w:after="70"/>
        <w:ind w:left="504" w:hanging="504"/>
        <w:jc w:val="left"/>
      </w:pPr>
      <w:r>
        <w:rPr>
          <w:rFonts w:ascii="Segoe UI" w:hAnsi="Segoe UI"/>
          <w:b/>
          <w:color w:val="1E3C72"/>
          <w:sz w:val="17"/>
        </w:rPr>
        <w:t xml:space="preserve">[35] </w:t>
      </w:r>
      <w:r>
        <w:rPr>
          <w:rFonts w:ascii="Segoe UI" w:hAnsi="Segoe UI"/>
          <w:color w:val="1F2937"/>
          <w:sz w:val="17"/>
        </w:rPr>
        <w:t xml:space="preserve">Cambridge Core / JCTS (2026). Evaluation of the National Dental PBRN Central IRB Since Its Inception in 2014 Until 2025. Erişim: </w:t>
      </w:r>
      <w:r>
        <w:rPr>
          <w:rFonts w:ascii="Segoe UI" w:hAnsi="Segoe UI"/>
          <w:i/>
          <w:color w:val="0284C7"/>
          <w:sz w:val="17"/>
        </w:rPr>
        <w:t>https://www.cambridge.org/core/services/aop-cambridge-core/content/view/5F43C7B5E99F71D7E467FAF25140D50F/S2059866126107286a.pdf</w:t>
      </w:r>
    </w:p>
    <w:p>
      <w:pPr>
        <w:spacing w:line="269" w:lineRule="auto" w:after="70"/>
        <w:ind w:left="504" w:hanging="504"/>
        <w:jc w:val="left"/>
      </w:pPr>
      <w:r>
        <w:rPr>
          <w:rFonts w:ascii="Segoe UI" w:hAnsi="Segoe UI"/>
          <w:b/>
          <w:color w:val="1E3C72"/>
          <w:sz w:val="17"/>
        </w:rPr>
        <w:t xml:space="preserve">[36] </w:t>
      </w:r>
      <w:r>
        <w:rPr>
          <w:rFonts w:ascii="Segoe UI" w:hAnsi="Segoe UI"/>
          <w:color w:val="1F2937"/>
          <w:sz w:val="17"/>
        </w:rPr>
        <w:t xml:space="preserve">Northern Illinois University (NIU) Theses. Technology Acceptance Model (TAM) in Academic Digital Systems. Erişim: </w:t>
      </w:r>
      <w:r>
        <w:rPr>
          <w:rFonts w:ascii="Segoe UI" w:hAnsi="Segoe UI"/>
          <w:i/>
          <w:color w:val="0284C7"/>
          <w:sz w:val="17"/>
        </w:rPr>
        <w:t>https://huskiecommons.lib.niu.edu/cgi/viewcontent.cgi?article=7770&amp;context=allgraduate-thesesdissertations</w:t>
      </w:r>
    </w:p>
    <w:p>
      <w:pPr>
        <w:spacing w:line="269" w:lineRule="auto" w:after="70"/>
        <w:ind w:left="504" w:hanging="504"/>
        <w:jc w:val="left"/>
      </w:pPr>
      <w:r>
        <w:rPr>
          <w:rFonts w:ascii="Segoe UI" w:hAnsi="Segoe UI"/>
          <w:b/>
          <w:color w:val="1E3C72"/>
          <w:sz w:val="17"/>
        </w:rPr>
        <w:t xml:space="preserve">[37] </w:t>
      </w:r>
      <w:r>
        <w:rPr>
          <w:rFonts w:ascii="Segoe UI" w:hAnsi="Segoe UI"/>
          <w:color w:val="1F2937"/>
          <w:sz w:val="17"/>
        </w:rPr>
        <w:t xml:space="preserve">Exploring Researchers' Perspectives on Institutional Review Boards Functions in Saudi Arabia: A Survey Utilizing the IRB-RAT Tool (2025). Erişim: </w:t>
      </w:r>
      <w:r>
        <w:rPr>
          <w:rFonts w:ascii="Segoe UI" w:hAnsi="Segoe UI"/>
          <w:i/>
          <w:color w:val="0284C7"/>
          <w:sz w:val="17"/>
        </w:rPr>
        <w:t>https://www.researchgate.net/publication/389027806_Exploring_Researchers'_Perspectives_on_Institutional_Review_Boards_Functions_in_Saudi_Arabia_A_Survey_Utilizing_the_IRB-RAT_Tool</w:t>
      </w:r>
    </w:p>
    <w:p>
      <w:pPr>
        <w:spacing w:line="269" w:lineRule="auto" w:after="70"/>
        <w:ind w:left="504" w:hanging="504"/>
        <w:jc w:val="left"/>
      </w:pPr>
      <w:r>
        <w:rPr>
          <w:rFonts w:ascii="Segoe UI" w:hAnsi="Segoe UI"/>
          <w:b/>
          <w:color w:val="1E3C72"/>
          <w:sz w:val="17"/>
        </w:rPr>
        <w:t xml:space="preserve">[38] </w:t>
      </w:r>
      <w:r>
        <w:rPr>
          <w:rFonts w:ascii="Segoe UI" w:hAnsi="Segoe UI"/>
          <w:color w:val="1F2937"/>
          <w:sz w:val="17"/>
        </w:rPr>
        <w:t xml:space="preserve">Kwon, S. et al. / Taylor &amp; Francis (2025). Guidelines needed for the use of AI in the preparation or review of IRB, IBC, and IACUC applications. Erişim: </w:t>
      </w:r>
      <w:r>
        <w:rPr>
          <w:rFonts w:ascii="Segoe UI" w:hAnsi="Segoe UI"/>
          <w:i/>
          <w:color w:val="0284C7"/>
          <w:sz w:val="17"/>
        </w:rPr>
        <w:t>https://www.tandfonline.com/doi/full/10.1080/08989621.2025.2612564</w:t>
      </w:r>
    </w:p>
    <w:p>
      <w:pPr>
        <w:spacing w:line="269" w:lineRule="auto" w:after="70"/>
        <w:ind w:left="504" w:hanging="504"/>
        <w:jc w:val="left"/>
      </w:pPr>
      <w:r>
        <w:rPr>
          <w:rFonts w:ascii="Segoe UI" w:hAnsi="Segoe UI"/>
          <w:b/>
          <w:color w:val="1E3C72"/>
          <w:sz w:val="17"/>
        </w:rPr>
        <w:t xml:space="preserve">[39] </w:t>
      </w:r>
      <w:r>
        <w:rPr>
          <w:rFonts w:ascii="Segoe UI" w:hAnsi="Segoe UI"/>
          <w:color w:val="1F2937"/>
          <w:sz w:val="17"/>
        </w:rPr>
        <w:t xml:space="preserve">Researcher awareness and submission practices to ethics committees via electronic portals (2025). Erişim: </w:t>
      </w:r>
      <w:r>
        <w:rPr>
          <w:rFonts w:ascii="Segoe UI" w:hAnsi="Segoe UI"/>
          <w:i/>
          <w:color w:val="0284C7"/>
          <w:sz w:val="17"/>
        </w:rPr>
        <w:t>https://pmc.ncbi.nlm.nih.gov/articles/PMC12895601/</w:t>
      </w:r>
    </w:p>
    <w:p>
      <w:pPr>
        <w:spacing w:line="269" w:lineRule="auto" w:after="70"/>
        <w:ind w:left="504" w:hanging="504"/>
        <w:jc w:val="left"/>
      </w:pPr>
      <w:r>
        <w:rPr>
          <w:rFonts w:ascii="Segoe UI" w:hAnsi="Segoe UI"/>
          <w:b/>
          <w:color w:val="1E3C72"/>
          <w:sz w:val="17"/>
        </w:rPr>
        <w:t xml:space="preserve">[40] </w:t>
      </w:r>
      <w:r>
        <w:rPr>
          <w:rFonts w:ascii="Segoe UI" w:hAnsi="Segoe UI"/>
          <w:color w:val="1F2937"/>
          <w:sz w:val="17"/>
        </w:rPr>
        <w:t xml:space="preserve">Equinet Africa (2025). Digital Research Ethics Governance in Resource-Limited Settings. Erişim: </w:t>
      </w:r>
      <w:r>
        <w:rPr>
          <w:rFonts w:ascii="Segoe UI" w:hAnsi="Segoe UI"/>
          <w:i/>
          <w:color w:val="0284C7"/>
          <w:sz w:val="17"/>
        </w:rPr>
        <w:t>https://www.equinetafrica.org/newsletter/issue/2025-03-01.html</w:t>
      </w:r>
    </w:p>
    <w:p>
      <w:pPr>
        <w:spacing w:line="269" w:lineRule="auto" w:after="70"/>
        <w:ind w:left="504" w:hanging="504"/>
        <w:jc w:val="left"/>
      </w:pPr>
      <w:r>
        <w:rPr>
          <w:rFonts w:ascii="Segoe UI" w:hAnsi="Segoe UI"/>
          <w:b/>
          <w:color w:val="1E3C72"/>
          <w:sz w:val="17"/>
        </w:rPr>
        <w:t xml:space="preserve">[41] </w:t>
      </w:r>
      <w:r>
        <w:rPr>
          <w:rFonts w:ascii="Segoe UI" w:hAnsi="Segoe UI"/>
          <w:color w:val="1F2937"/>
          <w:sz w:val="17"/>
        </w:rPr>
        <w:t xml:space="preserve">Equinet Africa. Monitoring Equity and Research Policy in African Health Institutions. Erişim: </w:t>
      </w:r>
      <w:r>
        <w:rPr>
          <w:rFonts w:ascii="Segoe UI" w:hAnsi="Segoe UI"/>
          <w:i/>
          <w:color w:val="0284C7"/>
          <w:sz w:val="17"/>
        </w:rPr>
        <w:t>https://www.equinetafrica.org/newsletter/category/508.html</w:t>
      </w:r>
    </w:p>
    <w:p>
      <w:pPr>
        <w:spacing w:line="269" w:lineRule="auto" w:after="70"/>
        <w:ind w:left="504" w:hanging="504"/>
        <w:jc w:val="left"/>
      </w:pPr>
      <w:r>
        <w:rPr>
          <w:rFonts w:ascii="Segoe UI" w:hAnsi="Segoe UI"/>
          <w:b/>
          <w:color w:val="1E3C72"/>
          <w:sz w:val="17"/>
        </w:rPr>
        <w:t xml:space="preserve">[42] </w:t>
      </w:r>
      <w:r>
        <w:rPr>
          <w:rFonts w:ascii="Segoe UI" w:hAnsi="Segoe UI"/>
          <w:color w:val="1F2937"/>
          <w:sz w:val="17"/>
        </w:rPr>
        <w:t xml:space="preserve">Challenges and recommendations to improve institutional review boards' review of community-engaged research proposals: A scoping review. Erişim: </w:t>
      </w:r>
      <w:r>
        <w:rPr>
          <w:rFonts w:ascii="Segoe UI" w:hAnsi="Segoe UI"/>
          <w:i/>
          <w:color w:val="0284C7"/>
          <w:sz w:val="17"/>
        </w:rPr>
        <w:t>https://pmc.ncbi.nlm.nih.gov/articles/PMC10130837/</w:t>
      </w:r>
    </w:p>
    <w:p>
      <w:pPr>
        <w:spacing w:line="269" w:lineRule="auto" w:after="70"/>
        <w:ind w:left="504" w:hanging="504"/>
        <w:jc w:val="left"/>
      </w:pPr>
      <w:r>
        <w:rPr>
          <w:rFonts w:ascii="Segoe UI" w:hAnsi="Segoe UI"/>
          <w:b/>
          <w:color w:val="1E3C72"/>
          <w:sz w:val="17"/>
        </w:rPr>
        <w:t xml:space="preserve">[43] </w:t>
      </w:r>
      <w:r>
        <w:rPr>
          <w:rFonts w:ascii="Segoe UI" w:hAnsi="Segoe UI"/>
          <w:color w:val="1F2937"/>
          <w:sz w:val="17"/>
        </w:rPr>
        <w:t xml:space="preserve">ResearchGate Preprint. Challenges and recommendations to improve IRBs' review of community-engaged research (CBPR/CEnR). Erişim: </w:t>
      </w:r>
      <w:r>
        <w:rPr>
          <w:rFonts w:ascii="Segoe UI" w:hAnsi="Segoe UI"/>
          <w:i/>
          <w:color w:val="0284C7"/>
          <w:sz w:val="17"/>
        </w:rPr>
        <w:t>https://www.researchgate.net/publication/369713390_Challenges_and_recommendations_to_improve_institutional_review_boards'_review_of_community-engaged_research_proposals_A_scoping_review</w:t>
      </w:r>
    </w:p>
    <w:p>
      <w:pPr>
        <w:spacing w:line="269" w:lineRule="auto" w:after="70"/>
        <w:ind w:left="504" w:hanging="504"/>
        <w:jc w:val="left"/>
      </w:pPr>
      <w:r>
        <w:rPr>
          <w:rFonts w:ascii="Segoe UI" w:hAnsi="Segoe UI"/>
          <w:b/>
          <w:color w:val="1E3C72"/>
          <w:sz w:val="17"/>
        </w:rPr>
        <w:t xml:space="preserve">[44] </w:t>
      </w:r>
      <w:r>
        <w:rPr>
          <w:rFonts w:ascii="Segoe UI" w:hAnsi="Segoe UI"/>
          <w:color w:val="1F2937"/>
          <w:sz w:val="17"/>
        </w:rPr>
        <w:t xml:space="preserve">Journal of Clinical and Translational Science (Cambridge Core). Improving IRB Review of Community-Engaged Research Proposals. Erişim: </w:t>
      </w:r>
      <w:r>
        <w:rPr>
          <w:rFonts w:ascii="Segoe UI" w:hAnsi="Segoe UI"/>
          <w:i/>
          <w:color w:val="0284C7"/>
          <w:sz w:val="17"/>
        </w:rPr>
        <w:t>https://www.cambridge.org/core/journals/journal-of-clinical-and-translational-science/article/challenges-and-recommendations-to-improve-institutional-review-boards-review-of-communityengaged-research-proposals-a-scoping-review/2E3A9779B7B8511B32D24824C666C0E2</w:t>
      </w:r>
    </w:p>
    <w:p>
      <w:pPr>
        <w:spacing w:line="269" w:lineRule="auto" w:after="70"/>
        <w:ind w:left="504" w:hanging="504"/>
        <w:jc w:val="left"/>
      </w:pPr>
      <w:r>
        <w:rPr>
          <w:rFonts w:ascii="Segoe UI" w:hAnsi="Segoe UI"/>
          <w:b/>
          <w:color w:val="1E3C72"/>
          <w:sz w:val="17"/>
        </w:rPr>
        <w:t xml:space="preserve">[45] </w:t>
      </w:r>
      <w:r>
        <w:rPr>
          <w:rFonts w:ascii="Segoe UI" w:hAnsi="Segoe UI"/>
          <w:color w:val="1F2937"/>
          <w:sz w:val="17"/>
        </w:rPr>
        <w:t xml:space="preserve">Cambridge Core. From paper to screen: regulatory and operational considerations for modernizing the informed consent process (eConsent). Erişim: </w:t>
      </w:r>
      <w:r>
        <w:rPr>
          <w:rFonts w:ascii="Segoe UI" w:hAnsi="Segoe UI"/>
          <w:i/>
          <w:color w:val="0284C7"/>
          <w:sz w:val="17"/>
        </w:rPr>
        <w:t>https://www.cambridge.org/core/services/aop-cambridge-core/content/view/B4D780788F74A0F56A1421111E98B151/S205986612200379Xa.pdf</w:t>
      </w:r>
    </w:p>
    <w:p>
      <w:pPr>
        <w:spacing w:line="269" w:lineRule="auto" w:after="70"/>
        <w:ind w:left="504" w:hanging="504"/>
        <w:jc w:val="left"/>
      </w:pPr>
      <w:r>
        <w:rPr>
          <w:rFonts w:ascii="Segoe UI" w:hAnsi="Segoe UI"/>
          <w:b/>
          <w:color w:val="1E3C72"/>
          <w:sz w:val="17"/>
        </w:rPr>
        <w:t xml:space="preserve">[46] </w:t>
      </w:r>
      <w:r>
        <w:rPr>
          <w:rFonts w:ascii="Segoe UI" w:hAnsi="Segoe UI"/>
          <w:color w:val="1F2937"/>
          <w:sz w:val="17"/>
        </w:rPr>
        <w:t xml:space="preserve">PubMed Central (PMC). From paper to screen: regulatory and operational considerations for electronic informed consent. Erişim: </w:t>
      </w:r>
      <w:r>
        <w:rPr>
          <w:rFonts w:ascii="Segoe UI" w:hAnsi="Segoe UI"/>
          <w:i/>
          <w:color w:val="0284C7"/>
          <w:sz w:val="17"/>
        </w:rPr>
        <w:t>https://pmc.ncbi.nlm.nih.gov/articles/PMC9257776/</w:t>
      </w:r>
    </w:p>
    <w:p>
      <w:pPr>
        <w:spacing w:line="269" w:lineRule="auto" w:after="70"/>
        <w:ind w:left="504" w:hanging="504"/>
        <w:jc w:val="left"/>
      </w:pPr>
      <w:r>
        <w:rPr>
          <w:rFonts w:ascii="Segoe UI" w:hAnsi="Segoe UI"/>
          <w:b/>
          <w:color w:val="1E3C72"/>
          <w:sz w:val="17"/>
        </w:rPr>
        <w:t xml:space="preserve">[47] </w:t>
      </w:r>
      <w:r>
        <w:rPr>
          <w:rFonts w:ascii="Segoe UI" w:hAnsi="Segoe UI"/>
          <w:color w:val="1F2937"/>
          <w:sz w:val="17"/>
        </w:rPr>
        <w:t xml:space="preserve">SciSpace Archive. Collaborative Online Architectures and User Interaction Metrics. Erişim: </w:t>
      </w:r>
      <w:r>
        <w:rPr>
          <w:rFonts w:ascii="Segoe UI" w:hAnsi="Segoe UI"/>
          <w:i/>
          <w:color w:val="0284C7"/>
          <w:sz w:val="17"/>
        </w:rPr>
        <w:t>https://scispace.com/pdf/egress-online-towards-leveraging-massively-multiplayer-4w5eholwxw.pdf</w:t>
      </w:r>
    </w:p>
    <w:p>
      <w:pPr>
        <w:spacing w:line="269" w:lineRule="auto" w:after="70"/>
        <w:ind w:left="504" w:hanging="504"/>
        <w:jc w:val="left"/>
      </w:pPr>
      <w:r>
        <w:rPr>
          <w:rFonts w:ascii="Segoe UI" w:hAnsi="Segoe UI"/>
          <w:b/>
          <w:color w:val="1E3C72"/>
          <w:sz w:val="17"/>
        </w:rPr>
        <w:t xml:space="preserve">[48] </w:t>
      </w:r>
      <w:r>
        <w:rPr>
          <w:rFonts w:ascii="Segoe UI" w:hAnsi="Segoe UI"/>
          <w:color w:val="1F2937"/>
          <w:sz w:val="17"/>
        </w:rPr>
        <w:t xml:space="preserve">NIH StrokeNet Experience (Cambridge Core). Ten years of Central IRB review for an NIH-funded large clinical trial network by an academic IRB. Erişim: </w:t>
      </w:r>
      <w:r>
        <w:rPr>
          <w:rFonts w:ascii="Segoe UI" w:hAnsi="Segoe UI"/>
          <w:i/>
          <w:color w:val="0284C7"/>
          <w:sz w:val="17"/>
        </w:rPr>
        <w:t>https://www.cambridge.org/core/journals/journal-of-clinical-and-translational-science/article/ten-years-of-central-irb-review-for-an-nihfunded-large-clinical-trial-network-by-an-academic-irb-the-nih-strokenet-experience/2654F9122344F923B3460EE901D8A330</w:t>
      </w:r>
    </w:p>
    <w:p>
      <w:pPr>
        <w:spacing w:line="269" w:lineRule="auto" w:after="70"/>
        <w:ind w:left="504" w:hanging="504"/>
        <w:jc w:val="left"/>
      </w:pPr>
      <w:r>
        <w:rPr>
          <w:rFonts w:ascii="Segoe UI" w:hAnsi="Segoe UI"/>
          <w:b/>
          <w:color w:val="1E3C72"/>
          <w:sz w:val="17"/>
        </w:rPr>
        <w:t xml:space="preserve">[49] </w:t>
      </w:r>
      <w:r>
        <w:rPr>
          <w:rFonts w:ascii="Segoe UI" w:hAnsi="Segoe UI"/>
          <w:color w:val="1F2937"/>
          <w:sz w:val="17"/>
        </w:rPr>
        <w:t xml:space="preserve">Şırnak Üniversitesi Etik Kurulu Başkanlığı. Etik Kurula Başvuruda Bulunurken Dikkat Edilmesi Gereken Hususlar ve EBYS Süreci. Erişim: </w:t>
      </w:r>
      <w:r>
        <w:rPr>
          <w:rFonts w:ascii="Segoe UI" w:hAnsi="Segoe UI"/>
          <w:i/>
          <w:color w:val="0284C7"/>
          <w:sz w:val="17"/>
        </w:rPr>
        <w:t>https://etikkurulu.sirnak.edu.tr/tr/aktivite/etik-kurulu-baskanligina-basvuruda-bulunurken-dikkat-edilmesi-gereken-hususlar/44513</w:t>
      </w:r>
    </w:p>
    <w:p>
      <w:pPr>
        <w:spacing w:line="269" w:lineRule="auto" w:after="70"/>
        <w:ind w:left="504" w:hanging="504"/>
        <w:jc w:val="left"/>
      </w:pPr>
      <w:r>
        <w:rPr>
          <w:rFonts w:ascii="Segoe UI" w:hAnsi="Segoe UI"/>
          <w:b/>
          <w:color w:val="1E3C72"/>
          <w:sz w:val="17"/>
        </w:rPr>
        <w:t xml:space="preserve">[50] </w:t>
      </w:r>
      <w:r>
        <w:rPr>
          <w:rFonts w:ascii="Segoe UI" w:hAnsi="Segoe UI"/>
          <w:color w:val="1F2937"/>
          <w:sz w:val="17"/>
        </w:rPr>
        <w:t xml:space="preserve">Ege Üniversitesi Klinik Araştırmalar Etik Kurulu (KAEK). Elektronik Başvuru ve Süreç Takip Portalı. Erişim: </w:t>
      </w:r>
      <w:r>
        <w:rPr>
          <w:rFonts w:ascii="Segoe UI" w:hAnsi="Segoe UI"/>
          <w:i/>
          <w:color w:val="0284C7"/>
          <w:sz w:val="17"/>
        </w:rPr>
        <w:t>https://kaek.ege.edu.tr/</w:t>
      </w:r>
    </w:p>
    <w:p>
      <w:pPr>
        <w:spacing w:line="269" w:lineRule="auto" w:after="70"/>
        <w:ind w:left="504" w:hanging="504"/>
        <w:jc w:val="left"/>
      </w:pPr>
      <w:r>
        <w:rPr>
          <w:rFonts w:ascii="Segoe UI" w:hAnsi="Segoe UI"/>
          <w:b/>
          <w:color w:val="1E3C72"/>
          <w:sz w:val="17"/>
        </w:rPr>
        <w:t xml:space="preserve">[51] </w:t>
      </w:r>
      <w:r>
        <w:rPr>
          <w:rFonts w:ascii="Segoe UI" w:hAnsi="Segoe UI"/>
          <w:color w:val="1F2937"/>
          <w:sz w:val="17"/>
        </w:rPr>
        <w:t xml:space="preserve">Klinik Araştırmalar Derneği (KAD). TİTCK ve Etik Kurul Onay Süreçleri Sıkça Sorulan Sorular. Erişim: </w:t>
      </w:r>
      <w:r>
        <w:rPr>
          <w:rFonts w:ascii="Segoe UI" w:hAnsi="Segoe UI"/>
          <w:i/>
          <w:color w:val="0284C7"/>
          <w:sz w:val="17"/>
        </w:rPr>
        <w:t>https://www.klinikarastirmalar.org/Home/SSS</w:t>
      </w:r>
    </w:p>
    <w:p>
      <w:pPr>
        <w:spacing w:line="269" w:lineRule="auto" w:after="70"/>
        <w:ind w:left="504" w:hanging="504"/>
        <w:jc w:val="left"/>
      </w:pPr>
      <w:r>
        <w:rPr>
          <w:rFonts w:ascii="Segoe UI" w:hAnsi="Segoe UI"/>
          <w:b/>
          <w:color w:val="1E3C72"/>
          <w:sz w:val="17"/>
        </w:rPr>
        <w:t xml:space="preserve">[52] </w:t>
      </w:r>
      <w:r>
        <w:rPr>
          <w:rFonts w:ascii="Segoe UI" w:hAnsi="Segoe UI"/>
          <w:color w:val="1F2937"/>
          <w:sz w:val="17"/>
        </w:rPr>
        <w:t xml:space="preserve">Ondokuz Mayıs Üniversitesi (OMÜ). Etik Kurul Süreçlerinde Dijital Dönüşüm Adımı. Erişim: </w:t>
      </w:r>
      <w:r>
        <w:rPr>
          <w:rFonts w:ascii="Segoe UI" w:hAnsi="Segoe UI"/>
          <w:i/>
          <w:color w:val="0284C7"/>
          <w:sz w:val="17"/>
        </w:rPr>
        <w:t>https://www.omu.edu.tr/tr/icerik/haber/etik-kurul-sureclerinde-dijital-donusum-adimi</w:t>
      </w:r>
    </w:p>
    <w:p>
      <w:pPr>
        <w:spacing w:line="269" w:lineRule="auto" w:after="70"/>
        <w:ind w:left="504" w:hanging="504"/>
        <w:jc w:val="left"/>
      </w:pPr>
      <w:r>
        <w:rPr>
          <w:rFonts w:ascii="Segoe UI" w:hAnsi="Segoe UI"/>
          <w:b/>
          <w:color w:val="1E3C72"/>
          <w:sz w:val="17"/>
        </w:rPr>
        <w:t xml:space="preserve">[53] </w:t>
      </w:r>
      <w:r>
        <w:rPr>
          <w:rFonts w:ascii="Segoe UI" w:hAnsi="Segoe UI"/>
          <w:color w:val="1F2937"/>
          <w:sz w:val="17"/>
        </w:rPr>
        <w:t xml:space="preserve">İzmir Kâtip Çelebi Üniversitesi (İKÇÜ). ÜBYS Entegre Sağlık Araştırmaları Etik Kurulu Bilgi Sistemi. Erişim: </w:t>
      </w:r>
      <w:r>
        <w:rPr>
          <w:rFonts w:ascii="Segoe UI" w:hAnsi="Segoe UI"/>
          <w:i/>
          <w:color w:val="0284C7"/>
          <w:sz w:val="17"/>
        </w:rPr>
        <w:t>https://etik.ikcu.edu.tr/S/21717/saglik-arastirmalari-etik-kurulu-formlar</w:t>
      </w:r>
    </w:p>
    <w:p>
      <w:pPr>
        <w:spacing w:line="269" w:lineRule="auto" w:after="70"/>
        <w:ind w:left="504" w:hanging="504"/>
        <w:jc w:val="left"/>
      </w:pPr>
      <w:r>
        <w:rPr>
          <w:rFonts w:ascii="Segoe UI" w:hAnsi="Segoe UI"/>
          <w:b/>
          <w:color w:val="1E3C72"/>
          <w:sz w:val="17"/>
        </w:rPr>
        <w:t xml:space="preserve">[54] </w:t>
      </w:r>
      <w:r>
        <w:rPr>
          <w:rFonts w:ascii="Segoe UI" w:hAnsi="Segoe UI"/>
          <w:color w:val="1F2937"/>
          <w:sz w:val="17"/>
        </w:rPr>
        <w:t xml:space="preserve">Ankara Sosyal Bilimler Üniversitesi (ASBÜ). ÖBS Üzerinden Tez Konusu ve Etik Kurul Başvuruları El Kitabı. Erişim: </w:t>
      </w:r>
      <w:r>
        <w:rPr>
          <w:rFonts w:ascii="Segoe UI" w:hAnsi="Segoe UI"/>
          <w:i/>
          <w:color w:val="0284C7"/>
          <w:sz w:val="17"/>
        </w:rPr>
        <w:t>https://sbe.asbu.edu.tr/sites/enstituler/sbe.asbu.edu.tr/files/2023-08/tez-konusu-oneri-basvurusu-el-kitabi_3.pdf</w:t>
      </w:r>
    </w:p>
    <w:p>
      <w:pPr>
        <w:spacing w:line="269" w:lineRule="auto" w:after="70"/>
        <w:ind w:left="504" w:hanging="504"/>
        <w:jc w:val="left"/>
      </w:pPr>
      <w:r>
        <w:rPr>
          <w:rFonts w:ascii="Segoe UI" w:hAnsi="Segoe UI"/>
          <w:b/>
          <w:color w:val="1E3C72"/>
          <w:sz w:val="17"/>
        </w:rPr>
        <w:t xml:space="preserve">[55] </w:t>
      </w:r>
      <w:r>
        <w:rPr>
          <w:rFonts w:ascii="Segoe UI" w:hAnsi="Segoe UI"/>
          <w:color w:val="1F2937"/>
          <w:sz w:val="17"/>
        </w:rPr>
        <w:t xml:space="preserve">EİMZACI. Öğrenci ve Akademisyenler İçin Nitelikli Elektronik İmza (NES): EBYS ve YÖKSİS Entegrasyonları. Erişim: </w:t>
      </w:r>
      <w:r>
        <w:rPr>
          <w:rFonts w:ascii="Segoe UI" w:hAnsi="Segoe UI"/>
          <w:i/>
          <w:color w:val="0284C7"/>
          <w:sz w:val="17"/>
        </w:rPr>
        <w:t>https://eimzaci.com/ogrenciler-akademisyenler-icin-e-imza/</w:t>
      </w:r>
    </w:p>
    <w:p>
      <w:pPr>
        <w:spacing w:line="269" w:lineRule="auto" w:after="70"/>
        <w:ind w:left="504" w:hanging="504"/>
        <w:jc w:val="left"/>
      </w:pPr>
      <w:r>
        <w:rPr>
          <w:rFonts w:ascii="Segoe UI" w:hAnsi="Segoe UI"/>
          <w:b/>
          <w:color w:val="1E3C72"/>
          <w:sz w:val="17"/>
        </w:rPr>
        <w:t xml:space="preserve">[56] </w:t>
      </w:r>
      <w:r>
        <w:rPr>
          <w:rFonts w:ascii="Segoe UI" w:hAnsi="Segoe UI"/>
          <w:color w:val="1F2937"/>
          <w:sz w:val="17"/>
        </w:rPr>
        <w:t xml:space="preserve">Türkiye İlaç ve Tıbbi Cihaz Kurumu (TİTCK) (2025). Klinik Araştırma Başvuru Kılavuzu. Erişim: </w:t>
      </w:r>
      <w:r>
        <w:rPr>
          <w:rFonts w:ascii="Segoe UI" w:hAnsi="Segoe UI"/>
          <w:i/>
          <w:color w:val="0284C7"/>
          <w:sz w:val="17"/>
        </w:rPr>
        <w:t>https://portal.aifd.org.tr/wp-content/uploads/2025/12/TITCK-Klinik-Arastirma-Arastirmaci-Toplantisi-Basvuru-Kilavuzu-01.12.2025-Rev-02-002.pdf</w:t>
      </w:r>
    </w:p>
    <w:p>
      <w:pPr>
        <w:spacing w:line="269" w:lineRule="auto" w:after="70"/>
        <w:ind w:left="504" w:hanging="504"/>
        <w:jc w:val="left"/>
      </w:pPr>
      <w:r>
        <w:rPr>
          <w:rFonts w:ascii="Segoe UI" w:hAnsi="Segoe UI"/>
          <w:b/>
          <w:color w:val="1E3C72"/>
          <w:sz w:val="17"/>
        </w:rPr>
        <w:t xml:space="preserve">[57] </w:t>
      </w:r>
      <w:r>
        <w:rPr>
          <w:rFonts w:ascii="Segoe UI" w:hAnsi="Segoe UI"/>
          <w:color w:val="1F2937"/>
          <w:sz w:val="17"/>
        </w:rPr>
        <w:t xml:space="preserve">Ankara Medipol Üniversitesi. Girişimsel Olmayan Klinik Araştırmalar Etik Kurulu Kontrol Listeleri ve Taahhütnameleri. Erişim: </w:t>
      </w:r>
      <w:r>
        <w:rPr>
          <w:rFonts w:ascii="Segoe UI" w:hAnsi="Segoe UI"/>
          <w:i/>
          <w:color w:val="0284C7"/>
          <w:sz w:val="17"/>
        </w:rPr>
        <w:t>https://www.ankaramedipol.edu.tr/akademik/arastirma-etik-kurullari/girisimsel-olmayan-klinik-arastirmalar-etik-kurulu</w:t>
      </w:r>
    </w:p>
    <w:p>
      <w:pPr>
        <w:spacing w:line="269" w:lineRule="auto" w:after="70"/>
        <w:ind w:left="504" w:hanging="504"/>
        <w:jc w:val="left"/>
      </w:pPr>
      <w:r>
        <w:rPr>
          <w:rFonts w:ascii="Segoe UI" w:hAnsi="Segoe UI"/>
          <w:b/>
          <w:color w:val="1E3C72"/>
          <w:sz w:val="17"/>
        </w:rPr>
        <w:t xml:space="preserve">[58] </w:t>
      </w:r>
      <w:r>
        <w:rPr>
          <w:rFonts w:ascii="Segoe UI" w:hAnsi="Segoe UI"/>
          <w:color w:val="1F2937"/>
          <w:sz w:val="17"/>
        </w:rPr>
        <w:t xml:space="preserve">Netiket. Üniversite ve Kamu Süreç Otomasyon Yazılımları. Erişim: </w:t>
      </w:r>
      <w:r>
        <w:rPr>
          <w:rFonts w:ascii="Segoe UI" w:hAnsi="Segoe UI"/>
          <w:i/>
          <w:color w:val="0284C7"/>
          <w:sz w:val="17"/>
        </w:rPr>
        <w:t>https://www.netiket.com.tr/services</w:t>
      </w:r>
    </w:p>
    <w:p>
      <w:pPr>
        <w:spacing w:line="269" w:lineRule="auto" w:after="70"/>
        <w:ind w:left="504" w:hanging="504"/>
        <w:jc w:val="left"/>
      </w:pPr>
      <w:r>
        <w:rPr>
          <w:rFonts w:ascii="Segoe UI" w:hAnsi="Segoe UI"/>
          <w:b/>
          <w:color w:val="1E3C72"/>
          <w:sz w:val="17"/>
        </w:rPr>
        <w:t xml:space="preserve">[59] </w:t>
      </w:r>
      <w:r>
        <w:rPr>
          <w:rFonts w:ascii="Segoe UI" w:hAnsi="Segoe UI"/>
          <w:color w:val="1F2937"/>
          <w:sz w:val="17"/>
        </w:rPr>
        <w:t xml:space="preserve">Assan Bilişim A.Ş. Kurumsal İş Akışı (eBA) ve Dijital Dönüşüm Yazılım Hizmetleri. Erişim: </w:t>
      </w:r>
      <w:r>
        <w:rPr>
          <w:rFonts w:ascii="Segoe UI" w:hAnsi="Segoe UI"/>
          <w:i/>
          <w:color w:val="0284C7"/>
          <w:sz w:val="17"/>
        </w:rPr>
        <w:t>https://www.assanbilisim.com.tr/tr-tr/hizmetler/dijital-hizmetler/yazilim-gelistirme-hizmetleri</w:t>
      </w:r>
    </w:p>
    <w:p>
      <w:pPr>
        <w:spacing w:line="269" w:lineRule="auto" w:after="70"/>
        <w:ind w:left="504" w:hanging="504"/>
        <w:jc w:val="left"/>
      </w:pPr>
      <w:r>
        <w:rPr>
          <w:rFonts w:ascii="Segoe UI" w:hAnsi="Segoe UI"/>
          <w:b/>
          <w:color w:val="1E3C72"/>
          <w:sz w:val="17"/>
        </w:rPr>
        <w:t xml:space="preserve">[60] </w:t>
      </w:r>
      <w:r>
        <w:rPr>
          <w:rFonts w:ascii="Segoe UI" w:hAnsi="Segoe UI"/>
          <w:color w:val="1F2937"/>
          <w:sz w:val="17"/>
        </w:rPr>
        <w:t xml:space="preserve">Model İstatistik. Akademik Çalışmalarda Etik Kurul Başvurusu Nasıl Hazırlanır? Erişim: </w:t>
      </w:r>
      <w:r>
        <w:rPr>
          <w:rFonts w:ascii="Segoe UI" w:hAnsi="Segoe UI"/>
          <w:i/>
          <w:color w:val="0284C7"/>
          <w:sz w:val="17"/>
        </w:rPr>
        <w:t>https://modelistatistik.com/blog/etik-kurul-basvuru-rehberi</w:t>
      </w:r>
    </w:p>
    <w:p>
      <w:pPr>
        <w:spacing w:line="269" w:lineRule="auto" w:after="70"/>
        <w:ind w:left="504" w:hanging="504"/>
        <w:jc w:val="left"/>
      </w:pPr>
      <w:r>
        <w:rPr>
          <w:rFonts w:ascii="Segoe UI" w:hAnsi="Segoe UI"/>
          <w:b/>
          <w:color w:val="1E3C72"/>
          <w:sz w:val="17"/>
        </w:rPr>
        <w:t xml:space="preserve">[61] </w:t>
      </w:r>
      <w:r>
        <w:rPr>
          <w:rFonts w:ascii="Segoe UI" w:hAnsi="Segoe UI"/>
          <w:color w:val="1F2937"/>
          <w:sz w:val="17"/>
        </w:rPr>
        <w:t xml:space="preserve">Sivas Cumhuriyet Üniversitesi Tıp Fakültesi (GÖKAEK). Etik Kurul Başvuru Rehberi. Erişim: </w:t>
      </w:r>
      <w:r>
        <w:rPr>
          <w:rFonts w:ascii="Segoe UI" w:hAnsi="Segoe UI"/>
          <w:i/>
          <w:color w:val="0284C7"/>
          <w:sz w:val="17"/>
        </w:rPr>
        <w:t>https://tip.cumhuriyet.edu.tr/userfiles/32/files/Kurul%20Rehberi(1).pdf</w:t>
      </w:r>
    </w:p>
    <w:p>
      <w:pPr>
        <w:spacing w:line="269" w:lineRule="auto" w:after="70"/>
        <w:ind w:left="504" w:hanging="504"/>
        <w:jc w:val="left"/>
      </w:pPr>
      <w:r>
        <w:rPr>
          <w:rFonts w:ascii="Segoe UI" w:hAnsi="Segoe UI"/>
          <w:b/>
          <w:color w:val="1E3C72"/>
          <w:sz w:val="17"/>
        </w:rPr>
        <w:t xml:space="preserve">[62] </w:t>
      </w:r>
      <w:r>
        <w:rPr>
          <w:rFonts w:ascii="Segoe UI" w:hAnsi="Segoe UI"/>
          <w:color w:val="1F2937"/>
          <w:sz w:val="17"/>
        </w:rPr>
        <w:t xml:space="preserve">Dicle Üniversitesi. Etik Kurul Otomasyon Portalı (etik.otomasyon.dicle.edu.tr). Erişim: </w:t>
      </w:r>
      <w:r>
        <w:rPr>
          <w:rFonts w:ascii="Segoe UI" w:hAnsi="Segoe UI"/>
          <w:i/>
          <w:color w:val="0284C7"/>
          <w:sz w:val="17"/>
        </w:rPr>
        <w:t>https://etik.otomasyon.dicle.edu.tr/</w:t>
      </w:r>
    </w:p>
    <w:p>
      <w:pPr>
        <w:spacing w:line="269" w:lineRule="auto" w:after="70"/>
        <w:ind w:left="504" w:hanging="504"/>
        <w:jc w:val="left"/>
      </w:pPr>
      <w:r>
        <w:rPr>
          <w:rFonts w:ascii="Segoe UI" w:hAnsi="Segoe UI"/>
          <w:b/>
          <w:color w:val="1E3C72"/>
          <w:sz w:val="17"/>
        </w:rPr>
        <w:t xml:space="preserve">[63] </w:t>
      </w:r>
      <w:r>
        <w:rPr>
          <w:rFonts w:ascii="Segoe UI" w:hAnsi="Segoe UI"/>
          <w:color w:val="1F2937"/>
          <w:sz w:val="17"/>
        </w:rPr>
        <w:t xml:space="preserve">Hacettepe Üniversitesi. Klinik Araştırmalar Etikosistem Portalı (kaekdev). Erişim: </w:t>
      </w:r>
      <w:r>
        <w:rPr>
          <w:rFonts w:ascii="Segoe UI" w:hAnsi="Segoe UI"/>
          <w:i/>
          <w:color w:val="0284C7"/>
          <w:sz w:val="17"/>
        </w:rPr>
        <w:t>https://kaekdev.hacettepe.edu.tr/</w:t>
      </w:r>
    </w:p>
    <w:p>
      <w:pPr>
        <w:spacing w:line="269" w:lineRule="auto" w:after="70"/>
        <w:ind w:left="504" w:hanging="504"/>
        <w:jc w:val="left"/>
      </w:pPr>
      <w:r>
        <w:rPr>
          <w:rFonts w:ascii="Segoe UI" w:hAnsi="Segoe UI"/>
          <w:b/>
          <w:color w:val="1E3C72"/>
          <w:sz w:val="17"/>
        </w:rPr>
        <w:t xml:space="preserve">[64] </w:t>
      </w:r>
      <w:r>
        <w:rPr>
          <w:rFonts w:ascii="Segoe UI" w:hAnsi="Segoe UI"/>
          <w:color w:val="1F2937"/>
          <w:sz w:val="17"/>
        </w:rPr>
        <w:t xml:space="preserve">Selçuk Üniversitesi Teknoloji Fakültesi Bilgisayar Mühendisliği (2026). Akademik Otomasyon Proje Listesi. Erişim: </w:t>
      </w:r>
      <w:r>
        <w:rPr>
          <w:rFonts w:ascii="Segoe UI" w:hAnsi="Segoe UI"/>
          <w:i/>
          <w:color w:val="0284C7"/>
          <w:sz w:val="17"/>
        </w:rPr>
        <w:t>https://webadmin.selcuk.edu.tr/uploads/Contents/teknoloji-bilgisayar_muhendisligi/duyuruO/82937/BMU_Proje_Listesi_16092026190421.pdf</w:t>
      </w:r>
    </w:p>
    <w:p>
      <w:pPr>
        <w:spacing w:line="269" w:lineRule="auto" w:after="70"/>
        <w:ind w:left="504" w:hanging="504"/>
        <w:jc w:val="left"/>
      </w:pPr>
      <w:r>
        <w:rPr>
          <w:rFonts w:ascii="Segoe UI" w:hAnsi="Segoe UI"/>
          <w:b/>
          <w:color w:val="1E3C72"/>
          <w:sz w:val="17"/>
        </w:rPr>
        <w:t xml:space="preserve">[65] </w:t>
      </w:r>
      <w:r>
        <w:rPr>
          <w:rFonts w:ascii="Segoe UI" w:hAnsi="Segoe UI"/>
          <w:color w:val="1F2937"/>
          <w:sz w:val="17"/>
        </w:rPr>
        <w:t xml:space="preserve">Model İstatistik. Türkiye Etik Kurul Sistemi: Kurumsal Yapı ve Mevzuat Çerçevesi. Erişim: </w:t>
      </w:r>
      <w:r>
        <w:rPr>
          <w:rFonts w:ascii="Segoe UI" w:hAnsi="Segoe UI"/>
          <w:i/>
          <w:color w:val="0284C7"/>
          <w:sz w:val="17"/>
        </w:rPr>
        <w:t>https://modelistatistik.com/blog/turkiye-etik-kurul-sistemi</w:t>
      </w:r>
    </w:p>
    <w:p>
      <w:pPr>
        <w:spacing w:line="269" w:lineRule="auto" w:after="70"/>
        <w:ind w:left="504" w:hanging="504"/>
        <w:jc w:val="left"/>
      </w:pPr>
      <w:r>
        <w:rPr>
          <w:rFonts w:ascii="Segoe UI" w:hAnsi="Segoe UI"/>
          <w:b/>
          <w:color w:val="1E3C72"/>
          <w:sz w:val="17"/>
        </w:rPr>
        <w:t xml:space="preserve">[66] </w:t>
      </w:r>
      <w:r>
        <w:rPr>
          <w:rFonts w:ascii="Segoe UI" w:hAnsi="Segoe UI"/>
          <w:color w:val="1F2937"/>
          <w:sz w:val="17"/>
        </w:rPr>
        <w:t xml:space="preserve">Selçuk Üniversitesi. Etik Kurul Yönergesi ve Dijital Başvuru Süreçleri. Erişim: </w:t>
      </w:r>
      <w:r>
        <w:rPr>
          <w:rFonts w:ascii="Segoe UI" w:hAnsi="Segoe UI"/>
          <w:i/>
          <w:color w:val="0284C7"/>
          <w:sz w:val="17"/>
        </w:rPr>
        <w:t>https://selcuk.edu.tr/birim/sayfa/5350/etik-kurul-166</w:t>
      </w:r>
    </w:p>
    <w:p>
      <w:pPr>
        <w:spacing w:line="269" w:lineRule="auto" w:after="70"/>
        <w:ind w:left="504" w:hanging="504"/>
        <w:jc w:val="left"/>
      </w:pPr>
      <w:r>
        <w:rPr>
          <w:rFonts w:ascii="Segoe UI" w:hAnsi="Segoe UI"/>
          <w:b/>
          <w:color w:val="1E3C72"/>
          <w:sz w:val="17"/>
        </w:rPr>
        <w:t xml:space="preserve">[67] </w:t>
      </w:r>
      <w:r>
        <w:rPr>
          <w:rFonts w:ascii="Segoe UI" w:hAnsi="Segoe UI"/>
          <w:color w:val="1F2937"/>
          <w:sz w:val="17"/>
        </w:rPr>
        <w:t xml:space="preserve">MDPI Information (2025). Large Language Models in Medicine: Systematic Review Using QUADAS-AI. Erişim: </w:t>
      </w:r>
      <w:r>
        <w:rPr>
          <w:rFonts w:ascii="Segoe UI" w:hAnsi="Segoe UI"/>
          <w:i/>
          <w:color w:val="0284C7"/>
          <w:sz w:val="17"/>
        </w:rPr>
        <w:t>https://www.scribd.com/document/882148167/information-16-00489-v2-1</w:t>
      </w:r>
    </w:p>
    <w:p>
      <w:pPr>
        <w:spacing w:line="269" w:lineRule="auto" w:after="70"/>
        <w:ind w:left="504" w:hanging="504"/>
        <w:jc w:val="left"/>
      </w:pPr>
      <w:r>
        <w:rPr>
          <w:rFonts w:ascii="Segoe UI" w:hAnsi="Segoe UI"/>
          <w:b/>
          <w:color w:val="1E3C72"/>
          <w:sz w:val="17"/>
        </w:rPr>
        <w:t xml:space="preserve">[68] </w:t>
      </w:r>
      <w:r>
        <w:rPr>
          <w:rFonts w:ascii="Segoe UI" w:hAnsi="Segoe UI"/>
          <w:color w:val="1F2937"/>
          <w:sz w:val="17"/>
        </w:rPr>
        <w:t xml:space="preserve">Mann, S. et al. (2025). Chat-IRB? How application-specific language models can enhance research ethics review. Journal of Medical Ethics (BMJ). Erişim: </w:t>
      </w:r>
      <w:r>
        <w:rPr>
          <w:rFonts w:ascii="Segoe UI" w:hAnsi="Segoe UI"/>
          <w:i/>
          <w:color w:val="0284C7"/>
          <w:sz w:val="17"/>
        </w:rPr>
        <w:t>https://jme.bmj.com/content/early/2025/12/14/jme-2025-110845</w:t>
      </w:r>
    </w:p>
    <w:p>
      <w:pPr>
        <w:spacing w:line="269" w:lineRule="auto" w:after="70"/>
        <w:ind w:left="504" w:hanging="504"/>
        <w:jc w:val="left"/>
      </w:pPr>
      <w:r>
        <w:rPr>
          <w:rFonts w:ascii="Segoe UI" w:hAnsi="Segoe UI"/>
          <w:b/>
          <w:color w:val="1E3C72"/>
          <w:sz w:val="17"/>
        </w:rPr>
        <w:t xml:space="preserve">[69] </w:t>
      </w:r>
      <w:r>
        <w:rPr>
          <w:rFonts w:ascii="Segoe UI" w:hAnsi="Segoe UI"/>
          <w:color w:val="1F2937"/>
          <w:sz w:val="17"/>
        </w:rPr>
        <w:t xml:space="preserve">Researcher.Life Discovery (2025). Guidelines needed for the use of AI in the preparation or review of IRB, IBC and IACUC applications. Erişim: </w:t>
      </w:r>
      <w:r>
        <w:rPr>
          <w:rFonts w:ascii="Segoe UI" w:hAnsi="Segoe UI"/>
          <w:i/>
          <w:color w:val="0284C7"/>
          <w:sz w:val="17"/>
        </w:rPr>
        <w:t>https://discovery.researcher.life/article/guidelines-needed-for-the-use-of-ai-in-the-preparation-or-review-of-irb-ibc-and-iacuc-applications/39bd05fa96ae39149ad0885a5adf1456</w:t>
      </w:r>
    </w:p>
    <w:p>
      <w:pPr>
        <w:spacing w:line="269" w:lineRule="auto" w:after="70"/>
        <w:ind w:left="504" w:hanging="504"/>
        <w:jc w:val="left"/>
      </w:pPr>
      <w:r>
        <w:rPr>
          <w:rFonts w:ascii="Segoe UI" w:hAnsi="Segoe UI"/>
          <w:b/>
          <w:color w:val="1E3C72"/>
          <w:sz w:val="17"/>
        </w:rPr>
        <w:t xml:space="preserve">[70] </w:t>
      </w:r>
      <w:r>
        <w:rPr>
          <w:rFonts w:ascii="Segoe UI" w:hAnsi="Segoe UI"/>
          <w:color w:val="1F2937"/>
          <w:sz w:val="17"/>
        </w:rPr>
        <w:t xml:space="preserve">ResearchGate. The IRB Structure and Medical Research Reform. Erişim: </w:t>
      </w:r>
      <w:r>
        <w:rPr>
          <w:rFonts w:ascii="Segoe UI" w:hAnsi="Segoe UI"/>
          <w:i/>
          <w:color w:val="0284C7"/>
          <w:sz w:val="17"/>
        </w:rPr>
        <w:t>https://www.researchgate.net/publication/324162504_The_IRB_structure_and_medical_research_reform</w:t>
      </w:r>
    </w:p>
    <w:p>
      <w:pPr>
        <w:spacing w:line="269" w:lineRule="auto" w:after="70"/>
        <w:ind w:left="504" w:hanging="504"/>
        <w:jc w:val="left"/>
      </w:pPr>
      <w:r>
        <w:rPr>
          <w:rFonts w:ascii="Segoe UI" w:hAnsi="Segoe UI"/>
          <w:b/>
          <w:color w:val="1E3C72"/>
          <w:sz w:val="17"/>
        </w:rPr>
        <w:t xml:space="preserve">[71] </w:t>
      </w:r>
      <w:r>
        <w:rPr>
          <w:rFonts w:ascii="Segoe UI" w:hAnsi="Segoe UI"/>
          <w:color w:val="1F2937"/>
          <w:sz w:val="17"/>
        </w:rPr>
        <w:t xml:space="preserve">PubMed (2025). Chat-IRB? Application-Specific Language Models in Research Ethics Governance (PMID: 40764013). Erişim: </w:t>
      </w:r>
      <w:r>
        <w:rPr>
          <w:rFonts w:ascii="Segoe UI" w:hAnsi="Segoe UI"/>
          <w:i/>
          <w:color w:val="0284C7"/>
          <w:sz w:val="17"/>
        </w:rPr>
        <w:t>https://pubmed.ncbi.nlm.nih.gov/40764013/</w:t>
      </w:r>
    </w:p>
    <w:p>
      <w:pPr>
        <w:spacing w:line="269" w:lineRule="auto" w:after="70"/>
        <w:ind w:left="504" w:hanging="504"/>
        <w:jc w:val="left"/>
      </w:pPr>
      <w:r>
        <w:rPr>
          <w:rFonts w:ascii="Segoe UI" w:hAnsi="Segoe UI"/>
          <w:b/>
          <w:color w:val="1E3C72"/>
          <w:sz w:val="17"/>
        </w:rPr>
        <w:t xml:space="preserve">[72] </w:t>
      </w:r>
      <w:r>
        <w:rPr>
          <w:rFonts w:ascii="Segoe UI" w:hAnsi="Segoe UI"/>
          <w:color w:val="1F2937"/>
          <w:sz w:val="17"/>
        </w:rPr>
        <w:t xml:space="preserve">DergiPark / Manas Sosyal Araştırmalar Dergisi (MJSS). Bilimsel Araştırmalarda Yapay Zekâ Kullanımı Etik İlkeleri. Erişim: </w:t>
      </w:r>
      <w:r>
        <w:rPr>
          <w:rFonts w:ascii="Segoe UI" w:hAnsi="Segoe UI"/>
          <w:i/>
          <w:color w:val="0284C7"/>
          <w:sz w:val="17"/>
        </w:rPr>
        <w:t>https://dergipark.org.tr/en/pub/mjss/article/1663647</w:t>
      </w:r>
    </w:p>
    <w:p>
      <w:pPr>
        <w:spacing w:line="269" w:lineRule="auto" w:after="70"/>
        <w:ind w:left="504" w:hanging="504"/>
        <w:jc w:val="left"/>
      </w:pPr>
      <w:r>
        <w:rPr>
          <w:rFonts w:ascii="Segoe UI" w:hAnsi="Segoe UI"/>
          <w:b/>
          <w:color w:val="1E3C72"/>
          <w:sz w:val="17"/>
        </w:rPr>
        <w:t xml:space="preserve">[73] </w:t>
      </w:r>
      <w:r>
        <w:rPr>
          <w:rFonts w:ascii="Segoe UI" w:hAnsi="Segoe UI"/>
          <w:color w:val="1F2937"/>
          <w:sz w:val="17"/>
        </w:rPr>
        <w:t xml:space="preserve">Lehigh University Research Integrity. Guidance: Generative AI and Human Subjects Research. Erişim: </w:t>
      </w:r>
      <w:r>
        <w:rPr>
          <w:rFonts w:ascii="Segoe UI" w:hAnsi="Segoe UI"/>
          <w:i/>
          <w:color w:val="0284C7"/>
          <w:sz w:val="17"/>
        </w:rPr>
        <w:t>https://research.lehigh.edu/policies-guidance-forms/guidance-generative-ai-and-human-subjects-research</w:t>
      </w:r>
    </w:p>
    <w:p>
      <w:pPr>
        <w:spacing w:line="269" w:lineRule="auto" w:after="70"/>
        <w:ind w:left="504" w:hanging="504"/>
        <w:jc w:val="left"/>
      </w:pPr>
      <w:r>
        <w:rPr>
          <w:rFonts w:ascii="Segoe UI" w:hAnsi="Segoe UI"/>
          <w:b/>
          <w:color w:val="1E3C72"/>
          <w:sz w:val="17"/>
        </w:rPr>
        <w:t xml:space="preserve">[74] </w:t>
      </w:r>
      <w:r>
        <w:rPr>
          <w:rFonts w:ascii="Segoe UI" w:hAnsi="Segoe UI"/>
          <w:color w:val="1F2937"/>
          <w:sz w:val="17"/>
        </w:rPr>
        <w:t xml:space="preserve">MDPI AI (2026). Human Evaluation of Large Language Models: A Review of Construct Mismatch and Multi-Dimensional Rubrics. Erişim: </w:t>
      </w:r>
      <w:r>
        <w:rPr>
          <w:rFonts w:ascii="Segoe UI" w:hAnsi="Segoe UI"/>
          <w:i/>
          <w:color w:val="0284C7"/>
          <w:sz w:val="17"/>
        </w:rPr>
        <w:t>https://www.mdpi.com/2673-2688/7/5/174</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