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08760" cy="827072"/>
            <wp:docPr id="1" name="Picture 1"/>
            <wp:cNvGraphicFramePr>
              <a:graphicFrameLocks noChangeAspect="1"/>
            </wp:cNvGraphicFramePr>
            <a:graphic>
              <a:graphicData uri="http://schemas.openxmlformats.org/drawingml/2006/picture">
                <pic:pic>
                  <pic:nvPicPr>
                    <pic:cNvPr id="0" name="ICLHE_logo_official.jpg"/>
                    <pic:cNvPicPr/>
                  </pic:nvPicPr>
                  <pic:blipFill>
                    <a:blip r:embed="rId11"/>
                    <a:stretch>
                      <a:fillRect/>
                    </a:stretch>
                  </pic:blipFill>
                  <pic:spPr>
                    <a:xfrm>
                      <a:off x="0" y="0"/>
                      <a:ext cx="1508760" cy="827072"/>
                    </a:xfrm>
                    <a:prstGeom prst="rect"/>
                  </pic:spPr>
                </pic:pic>
              </a:graphicData>
            </a:graphic>
          </wp:inline>
        </w:drawing>
      </w:r>
    </w:p>
    <w:p>
      <w:pPr>
        <w:pStyle w:val="Title"/>
      </w:pPr>
      <w:r>
        <w:t>Presenter Notes for Pragmatic Considerations for Authors and Publishers on Modification of Input in Written Academic English</w:t>
      </w:r>
    </w:p>
    <w:p>
      <w:pPr>
        <w:jc w:val="left"/>
      </w:pPr>
      <w:r>
        <w:rPr>
          <w:b/>
          <w:color w:val="176082"/>
          <w:sz w:val="26"/>
        </w:rPr>
        <w:t>MIWAE conference presentation · 30-slide final edition</w:t>
      </w:r>
    </w:p>
    <w:p>
      <w:r>
        <w:rPr>
          <w:b/>
        </w:rPr>
        <w:t xml:space="preserve">Purpose. </w:t>
      </w:r>
      <w:r>
        <w:t>These notes preserve the theoretical, methodological, and technical detail removed from the slides during shortening. They support a concise oral delivery while keeping the distinctions that protect the argument: academic literacy is broader than general proficiency; CEFR pragmatic competence is mapped to textbook design as a MIWAE inference; and function, form, distribution, and reader evidence remain separate analytic layers.</w:t>
      </w:r>
    </w:p>
    <w:p>
      <w:r>
        <w:rPr>
          <w:b/>
        </w:rPr>
        <w:t xml:space="preserve">Thirty-minute session plan. </w:t>
      </w:r>
      <w:r>
        <w:t>Aim for a 20-minute presentation, reserve 8 minutes for questions, and keep a 2-minute buffer for transitions or technical delay. Slides 29–30 are backup slides and do not need full delivery in the main talk.</w:t>
      </w:r>
    </w:p>
    <w:p>
      <w:r>
        <w:br w:type="page"/>
      </w:r>
    </w:p>
    <w:p>
      <w:pPr>
        <w:pStyle w:val="Heading1"/>
      </w:pPr>
      <w:r>
        <w:t>Suggested timing</w:t>
      </w:r>
    </w:p>
    <w:tbl>
      <w:tblPr>
        <w:tblW w:type="auto" w:w="0"/>
        <w:jc w:val="center"/>
        <w:tblLayout w:type="fixed"/>
        <w:tblLook w:firstColumn="1" w:firstRow="1" w:lastColumn="0" w:lastRow="0" w:noHBand="0" w:noVBand="1" w:val="04A0"/>
      </w:tblPr>
      <w:tblGrid>
        <w:gridCol w:w="3360"/>
        <w:gridCol w:w="3360"/>
        <w:gridCol w:w="3360"/>
      </w:tblGrid>
      <w:tr>
        <w:tc>
          <w:tcPr>
            <w:tcW w:type="dxa" w:w="1728"/>
            <w:shd w:fill="123B5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rPr>
              <w:t>Time</w:t>
            </w:r>
          </w:p>
        </w:tc>
        <w:tc>
          <w:tcPr>
            <w:tcW w:type="dxa" w:w="3168"/>
            <w:shd w:fill="123B5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rPr>
              <w:t>Slides</w:t>
            </w:r>
          </w:p>
        </w:tc>
        <w:tc>
          <w:tcPr>
            <w:tcW w:type="dxa" w:w="5184"/>
            <w:shd w:fill="123B5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rPr>
              <w:t>Delivery</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6 min</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1–10</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Problem, literature, pragmatic competence, research question, and design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 min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11–13</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API access, Swagger workflow, and response structure</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6 min</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14–21</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Student evidence, textbook examples, corpus comparison, and discussion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6 min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22–28</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Framework, rubric, decision rule, and conclusion</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Backup</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29–30</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Evidence status and references for questions</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8 min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Questions</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Framework validity, distribution denominators, API use, and editorial feasibility</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 min</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Buffer</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Room transition, technical delay, or one extended answer</w:t>
            </w:r>
          </w:p>
        </w:tc>
      </w:tr>
    </w:tbl>
    <w:p>
      <w:pPr>
        <w:pStyle w:val="Heading1"/>
      </w:pPr>
      <w:r>
        <w:t>Delivery choices for a shorter slot</w:t>
      </w:r>
    </w:p>
    <w:p>
      <w:pPr>
        <w:pStyle w:val="ListBullet"/>
      </w:pPr>
      <w:r>
        <w:t>For a 15-minute slot, summarise slides 3 and 5 together, show only one of the two interview-excerpt slides, and present slides 25–26 as a single rubric spread without reading each cell.</w:t>
      </w:r>
    </w:p>
    <w:p>
      <w:pPr>
        <w:pStyle w:val="ListBullet"/>
      </w:pPr>
      <w:r>
        <w:t>If the API cannot be demonstrated live, show slides 11–13 and state that the repository is public while localhost runs only on the presenter’s computer.</w:t>
      </w:r>
    </w:p>
    <w:p>
      <w:pPr>
        <w:pStyle w:val="ListBullet"/>
      </w:pPr>
      <w:r>
        <w:t>Keep slides 29–30 as backup. Their content is already preserved in these notes.</w:t>
      </w:r>
    </w:p>
    <w:p>
      <w:r>
        <w:rPr>
          <w:b/>
          <w:color w:val="176082"/>
        </w:rPr>
        <w:t xml:space="preserve">Navigation in these notes. </w:t>
      </w:r>
      <w:r>
        <w:t>Every section begins with the PowerPoint slide number. An orange instruction at the end of each section tells you exactly when to advance and names the next slide.</w:t>
      </w:r>
    </w:p>
    <w:p>
      <w:r>
        <w:br w:type="page"/>
      </w:r>
    </w:p>
    <w:p>
      <w:pPr>
        <w:pStyle w:val="Heading1"/>
      </w:pPr>
      <w:r>
        <w:t>Slide by slide notes</w:t>
      </w:r>
    </w:p>
    <w:p>
      <w:pPr>
        <w:pStyle w:val="Heading2"/>
        <w:keepNext/>
      </w:pPr>
      <w:r>
        <w:t>Slide 1  Pragmatic Considerations for Authors and Publishers on Modification of Input in Written Academic English</w:t>
      </w:r>
    </w:p>
    <w:p>
      <w:pPr>
        <w:spacing w:after="100"/>
      </w:pPr>
      <w:r>
        <w:rPr>
          <w:b/>
        </w:rPr>
        <w:t xml:space="preserve">Purpose. </w:t>
      </w:r>
      <w:r>
        <w:t>Establish the object of inquiry and the status of the evidence.</w:t>
      </w:r>
    </w:p>
    <w:p>
      <w:pPr>
        <w:spacing w:after="100"/>
      </w:pPr>
      <w:r>
        <w:rPr>
          <w:b/>
        </w:rPr>
        <w:t xml:space="preserve">Suggested wording. </w:t>
      </w:r>
      <w:r>
        <w:t>This presentation asks what authors and publishers can do on the production side of written academic communication. I use MIWAE as a working framework for examining whether EMI textbooks anticipate multilingual readers while preserving disciplinary precision. The student records and interview quotations shown today are from the study. The literature, located textbook examples, and pilot corpus measurements come from the project materials.</w:t>
      </w:r>
    </w:p>
    <w:p>
      <w:pPr>
        <w:spacing w:after="100"/>
      </w:pPr>
      <w:r>
        <w:rPr>
          <w:b/>
        </w:rPr>
        <w:t xml:space="preserve">Evidence and caution. </w:t>
      </w:r>
      <w:r>
        <w:t>Do not introduce MIWAE as a validated scale. Call it a provisional coursebook-fit framework and an open analysis prototype.</w:t>
      </w:r>
    </w:p>
    <w:p>
      <w:pPr>
        <w:spacing w:after="100"/>
      </w:pPr>
      <w:r>
        <w:rPr>
          <w:b/>
        </w:rPr>
        <w:t xml:space="preserve">Transition. </w:t>
      </w:r>
      <w:r>
        <w:rPr>
          <w:i/>
        </w:rPr>
        <w:t>I will begin by explaining why input modification is a pragmatic issue rather than a simple question of making English easier.</w:t>
      </w:r>
    </w:p>
    <w:p>
      <w:pPr>
        <w:spacing w:before="40" w:after="160"/>
      </w:pPr>
      <w:r>
        <w:rPr>
          <w:b/>
          <w:color w:val="D58C00"/>
          <w:sz w:val="19"/>
        </w:rPr>
        <w:t>ADVANCE TO SLIDE 2  Input modification is a pragmatic choice on the textbook side</w:t>
      </w:r>
    </w:p>
    <w:p/>
    <w:p>
      <w:pPr>
        <w:pStyle w:val="Heading2"/>
        <w:keepNext/>
      </w:pPr>
      <w:r>
        <w:t>Slide 2  Input modification is a pragmatic choice on the textbook side</w:t>
      </w:r>
    </w:p>
    <w:p>
      <w:pPr>
        <w:spacing w:after="100"/>
      </w:pPr>
      <w:r>
        <w:rPr>
          <w:b/>
        </w:rPr>
        <w:t xml:space="preserve">Purpose. </w:t>
      </w:r>
      <w:r>
        <w:t>Move the audience from a learner-deficit account to a relational account of comprehension.</w:t>
      </w:r>
    </w:p>
    <w:p>
      <w:pPr>
        <w:spacing w:after="100"/>
      </w:pPr>
      <w:r>
        <w:rPr>
          <w:b/>
        </w:rPr>
        <w:t xml:space="preserve">Suggested wording. </w:t>
      </w:r>
      <w:r>
        <w:t>Academic reading is produced through a relation among the reader, disciplinary knowledge, academic literacy practices, and the way the textbook presents meaning. McKinley’s academic-literacy emphasis helps here: general proficiency cannot fully describe whether a student can read, reason, and interpret evidence within a discipline. MIWAE therefore examines the textbook side of the relation as well as the student side.</w:t>
      </w:r>
    </w:p>
    <w:p>
      <w:pPr>
        <w:spacing w:after="100"/>
      </w:pPr>
      <w:r>
        <w:rPr>
          <w:b/>
        </w:rPr>
        <w:t xml:space="preserve">Evidence and caution. </w:t>
      </w:r>
      <w:r>
        <w:t>Modification means purposeful support through organisation, explanation, signalling, examples, visuals, and placement. It does not mean removing technical terms or lowering disciplinary standards.</w:t>
      </w:r>
    </w:p>
    <w:p>
      <w:pPr>
        <w:spacing w:after="100"/>
      </w:pPr>
      <w:r>
        <w:rPr>
          <w:b/>
        </w:rPr>
        <w:t xml:space="preserve">Transition. </w:t>
      </w:r>
      <w:r>
        <w:rPr>
          <w:i/>
        </w:rPr>
        <w:t>This relational view places the study between two traditions: written EAP and academic ELF.</w:t>
      </w:r>
    </w:p>
    <w:p>
      <w:pPr>
        <w:spacing w:before="40" w:after="160"/>
      </w:pPr>
      <w:r>
        <w:rPr>
          <w:b/>
          <w:color w:val="D58C00"/>
          <w:sz w:val="19"/>
        </w:rPr>
        <w:t>ADVANCE TO SLIDE 3  EAP and academic ELF began from different traditions</w:t>
      </w:r>
    </w:p>
    <w:p>
      <w:r>
        <w:br w:type="page"/>
      </w:r>
    </w:p>
    <w:p>
      <w:pPr>
        <w:pStyle w:val="Heading2"/>
        <w:keepNext/>
      </w:pPr>
      <w:r>
        <w:t>Slide 3  EAP and academic ELF began from different traditions</w:t>
      </w:r>
    </w:p>
    <w:p>
      <w:pPr>
        <w:spacing w:after="100"/>
      </w:pPr>
      <w:r>
        <w:rPr>
          <w:b/>
        </w:rPr>
        <w:t xml:space="preserve">Purpose. </w:t>
      </w:r>
      <w:r>
        <w:t>Explain the conceptual tension that motivates the framework.</w:t>
      </w:r>
    </w:p>
    <w:p>
      <w:pPr>
        <w:spacing w:after="100"/>
      </w:pPr>
      <w:r>
        <w:rPr>
          <w:b/>
        </w:rPr>
        <w:t xml:space="preserve">Suggested wording. </w:t>
      </w:r>
      <w:r>
        <w:t>Mauranen, Hynninen, and Ranta describe EAP as historically concentrated on written reading and writing, often with native-speaker usage as a reference norm. Academic ELF research began mainly with spoken interaction and asked whether communication succeeded among international users. The distinction is a matter of research orientation, not a claim that every EAP study is native-normative or every ELF study ignores form.</w:t>
      </w:r>
    </w:p>
    <w:p>
      <w:pPr>
        <w:spacing w:after="100"/>
      </w:pPr>
      <w:r>
        <w:rPr>
          <w:b/>
        </w:rPr>
        <w:t xml:space="preserve">Evidence and caution. </w:t>
      </w:r>
      <w:r>
        <w:t>Use the contrast to justify bringing a communication-oriented ELF lens into written disciplinary material.</w:t>
      </w:r>
    </w:p>
    <w:p>
      <w:pPr>
        <w:spacing w:after="100"/>
      </w:pPr>
      <w:r>
        <w:rPr>
          <w:b/>
        </w:rPr>
        <w:t xml:space="preserve">Transition. </w:t>
      </w:r>
      <w:r>
        <w:rPr>
          <w:i/>
        </w:rPr>
        <w:t>The next question is whether existing EMI research has already examined textbook design in this way.</w:t>
      </w:r>
    </w:p>
    <w:p>
      <w:pPr>
        <w:spacing w:before="40" w:after="160"/>
      </w:pPr>
      <w:r>
        <w:rPr>
          <w:b/>
          <w:color w:val="D58C00"/>
          <w:sz w:val="19"/>
        </w:rPr>
        <w:t>ADVANCE TO SLIDE 4  Textbook difficulty is documented, but textbook design is rarely examined</w:t>
      </w:r>
    </w:p>
    <w:p/>
    <w:p>
      <w:pPr>
        <w:pStyle w:val="Heading2"/>
        <w:keepNext/>
      </w:pPr>
      <w:r>
        <w:t>Slide 4  Textbook difficulty is documented, but textbook design is rarely examined</w:t>
      </w:r>
    </w:p>
    <w:p>
      <w:pPr>
        <w:spacing w:after="100"/>
      </w:pPr>
      <w:r>
        <w:rPr>
          <w:b/>
        </w:rPr>
        <w:t xml:space="preserve">Purpose. </w:t>
      </w:r>
      <w:r>
        <w:t>State the research problem precisely.</w:t>
      </w:r>
    </w:p>
    <w:p>
      <w:pPr>
        <w:spacing w:after="100"/>
      </w:pPr>
      <w:r>
        <w:rPr>
          <w:b/>
        </w:rPr>
        <w:t xml:space="preserve">Suggested wording. </w:t>
      </w:r>
      <w:r>
        <w:t>EMI research documents students struggling with imported English textbooks, proficiency thresholds, textbook choice, and the availability of first-language support. However, the written design of the textbook itself is rarely treated as a pragmatic participant in meaning making. Mauranen and colleagues also describe written academic ELF as largely uncharted compared with spoken interaction.</w:t>
      </w:r>
    </w:p>
    <w:p>
      <w:pPr>
        <w:spacing w:after="100"/>
      </w:pPr>
      <w:r>
        <w:rPr>
          <w:b/>
        </w:rPr>
        <w:t xml:space="preserve">Evidence and caution. </w:t>
      </w:r>
      <w:r>
        <w:t>The quotation demonstrates a reported problem; it does not by itself prove that textbook design caused the difficulty. MIWAE adds design as a testable source of support or obstruction.</w:t>
      </w:r>
    </w:p>
    <w:p>
      <w:pPr>
        <w:spacing w:after="100"/>
      </w:pPr>
      <w:r>
        <w:rPr>
          <w:b/>
        </w:rPr>
        <w:t xml:space="preserve">Transition. </w:t>
      </w:r>
      <w:r>
        <w:rPr>
          <w:i/>
        </w:rPr>
        <w:t>Four strands of literature specify what this design-oriented inquiry should attend to.</w:t>
      </w:r>
    </w:p>
    <w:p>
      <w:pPr>
        <w:spacing w:before="40" w:after="160"/>
      </w:pPr>
      <w:r>
        <w:rPr>
          <w:b/>
          <w:color w:val="D58C00"/>
          <w:sz w:val="19"/>
        </w:rPr>
        <w:t>ADVANCE TO SLIDE 5  Four literature moves inform MIWAE</w:t>
      </w:r>
    </w:p>
    <w:p>
      <w:r>
        <w:br w:type="page"/>
      </w:r>
    </w:p>
    <w:p>
      <w:pPr>
        <w:pStyle w:val="Heading2"/>
        <w:keepNext/>
      </w:pPr>
      <w:r>
        <w:t>Slide 5  Four literature moves inform MIWAE</w:t>
      </w:r>
    </w:p>
    <w:p>
      <w:pPr>
        <w:spacing w:after="100"/>
      </w:pPr>
      <w:r>
        <w:rPr>
          <w:b/>
        </w:rPr>
        <w:t xml:space="preserve">Purpose. </w:t>
      </w:r>
      <w:r>
        <w:t>Show how the literature strands contribute different parts of the framework.</w:t>
      </w:r>
    </w:p>
    <w:p>
      <w:pPr>
        <w:spacing w:after="100"/>
      </w:pPr>
      <w:r>
        <w:rPr>
          <w:b/>
        </w:rPr>
        <w:t xml:space="preserve">Suggested wording. </w:t>
      </w:r>
      <w:r>
        <w:t>Mauranen and colleagues supply the academic-ELF orientation and the written-research gap. Björkman and Seidlhofer support a functional reading of signposting, accommodation, shared knowledge, and purposeful redundancy. Jenkins and Mauranen document coursebook difficulty in EMI. McKinley argues that EMI preparedness must include discipline-specific academic literacy rather than general English proficiency alone.</w:t>
      </w:r>
    </w:p>
    <w:p>
      <w:pPr>
        <w:spacing w:after="100"/>
      </w:pPr>
      <w:r>
        <w:rPr>
          <w:b/>
        </w:rPr>
        <w:t xml:space="preserve">Evidence and caution. </w:t>
      </w:r>
      <w:r>
        <w:t>None of these sources provides a ready-made textbook checklist. MIWAE is the proposed operational synthesis, so its indicators remain open to revision and validation.</w:t>
      </w:r>
    </w:p>
    <w:p>
      <w:pPr>
        <w:spacing w:after="100"/>
      </w:pPr>
      <w:r>
        <w:rPr>
          <w:b/>
        </w:rPr>
        <w:t xml:space="preserve">Transition. </w:t>
      </w:r>
      <w:r>
        <w:rPr>
          <w:i/>
        </w:rPr>
        <w:t>The CEFR offers the next bridge because it separates pragmatic competence into components that can be mapped onto text design.</w:t>
      </w:r>
    </w:p>
    <w:p>
      <w:pPr>
        <w:spacing w:before="40" w:after="160"/>
      </w:pPr>
      <w:r>
        <w:rPr>
          <w:b/>
          <w:color w:val="D58C00"/>
          <w:sz w:val="19"/>
        </w:rPr>
        <w:t>ADVANCE TO SLIDE 6  Pragmatic competence provides the bridge to textbook design</w:t>
      </w:r>
    </w:p>
    <w:p/>
    <w:p>
      <w:pPr>
        <w:pStyle w:val="Heading2"/>
        <w:keepNext/>
      </w:pPr>
      <w:r>
        <w:t>Slide 6  Pragmatic competence provides the bridge to textbook design</w:t>
      </w:r>
    </w:p>
    <w:p>
      <w:pPr>
        <w:spacing w:after="100"/>
      </w:pPr>
      <w:r>
        <w:rPr>
          <w:b/>
        </w:rPr>
        <w:t xml:space="preserve">Purpose. </w:t>
      </w:r>
      <w:r>
        <w:t>Make the CEFR connection explicit and theoretically bounded.</w:t>
      </w:r>
    </w:p>
    <w:p>
      <w:pPr>
        <w:spacing w:after="100"/>
      </w:pPr>
      <w:r>
        <w:rPr>
          <w:b/>
        </w:rPr>
        <w:t xml:space="preserve">Suggested wording. </w:t>
      </w:r>
      <w:r>
        <w:t>The CEFR Companion Volume describes pragmatic competence through discourse competence, functional competence, and design competence. Discourse competence concerns cohesion, coherence, and organisation. Functional competence concerns communicative functions and patterns. Design competence concerns the sequencing and arrangement of messages. MIWAE operationalises these ideas on the textbook side through orientation, rhetorical relations, conceptual continuity, meaning access, reader engagement, placement, distribution, and multimodal integration.</w:t>
      </w:r>
    </w:p>
    <w:p>
      <w:pPr>
        <w:spacing w:after="100"/>
      </w:pPr>
      <w:r>
        <w:rPr>
          <w:b/>
        </w:rPr>
        <w:t xml:space="preserve">Evidence and caution. </w:t>
      </w:r>
      <w:r>
        <w:t>The CEFR describes language-user competence; it is not a textbook rating instrument. The mapping shown here is a MIWAE extension and should be presented as an inference.</w:t>
      </w:r>
    </w:p>
    <w:p>
      <w:pPr>
        <w:spacing w:after="100"/>
      </w:pPr>
      <w:r>
        <w:rPr>
          <w:b/>
        </w:rPr>
        <w:t xml:space="preserve">Transition. </w:t>
      </w:r>
      <w:r>
        <w:rPr>
          <w:i/>
        </w:rPr>
        <w:t>This mapping allows a clear working definition of ELFA friendliness.</w:t>
      </w:r>
    </w:p>
    <w:p>
      <w:pPr>
        <w:spacing w:before="40" w:after="160"/>
      </w:pPr>
      <w:r>
        <w:rPr>
          <w:b/>
          <w:color w:val="D58C00"/>
          <w:sz w:val="19"/>
        </w:rPr>
        <w:t>ADVANCE TO SLIDE 7  Working meaning of ELFA friendliness</w:t>
      </w:r>
    </w:p>
    <w:p>
      <w:r>
        <w:br w:type="page"/>
      </w:r>
    </w:p>
    <w:p>
      <w:pPr>
        <w:pStyle w:val="Heading2"/>
        <w:keepNext/>
      </w:pPr>
      <w:r>
        <w:t>Slide 7  Working meaning of ELFA friendliness</w:t>
      </w:r>
    </w:p>
    <w:p>
      <w:pPr>
        <w:spacing w:after="100"/>
      </w:pPr>
      <w:r>
        <w:rPr>
          <w:b/>
        </w:rPr>
        <w:t xml:space="preserve">Purpose. </w:t>
      </w:r>
      <w:r>
        <w:t>Define the project term and prevent an oversimplification interpretation.</w:t>
      </w:r>
    </w:p>
    <w:p>
      <w:pPr>
        <w:spacing w:after="100"/>
      </w:pPr>
      <w:r>
        <w:rPr>
          <w:b/>
        </w:rPr>
        <w:t xml:space="preserve">Suggested wording. </w:t>
      </w:r>
      <w:r>
        <w:t>An ELFA-friendly textbook anticipates multilingual readers while preserving disciplinary meaning. The framework looks for accessible disciplinary meanings, visible organisation and relations, support placed at points of need, and coordination among words, visuals, symbols, and notation.</w:t>
      </w:r>
    </w:p>
    <w:p>
      <w:pPr>
        <w:spacing w:after="100"/>
      </w:pPr>
      <w:r>
        <w:rPr>
          <w:b/>
        </w:rPr>
        <w:t xml:space="preserve">Evidence and caution. </w:t>
      </w:r>
      <w:r>
        <w:t>The framework does not reward easier English as an end in itself, removal of technical terminology, native-speaker imitation, or a universal recipe applied across disciplines. The practical principle is to preserve the term while unpacking its meaning and relation when evidence indicates a need.</w:t>
      </w:r>
    </w:p>
    <w:p>
      <w:pPr>
        <w:spacing w:after="100"/>
      </w:pPr>
      <w:r>
        <w:rPr>
          <w:b/>
        </w:rPr>
        <w:t xml:space="preserve">Transition. </w:t>
      </w:r>
      <w:r>
        <w:rPr>
          <w:i/>
        </w:rPr>
        <w:t>This definition leads to the study question and the decision product.</w:t>
      </w:r>
    </w:p>
    <w:p>
      <w:pPr>
        <w:spacing w:before="40" w:after="160"/>
      </w:pPr>
      <w:r>
        <w:rPr>
          <w:b/>
          <w:color w:val="D58C00"/>
          <w:sz w:val="19"/>
        </w:rPr>
        <w:t>ADVANCE TO SLIDE 8  Research question and contribution</w:t>
      </w:r>
    </w:p>
    <w:p/>
    <w:p>
      <w:pPr>
        <w:pStyle w:val="Heading2"/>
        <w:keepNext/>
      </w:pPr>
      <w:r>
        <w:t>Slide 8  Research question and contribution</w:t>
      </w:r>
    </w:p>
    <w:p>
      <w:pPr>
        <w:spacing w:after="100"/>
      </w:pPr>
      <w:r>
        <w:rPr>
          <w:b/>
        </w:rPr>
        <w:t xml:space="preserve">Purpose. </w:t>
      </w:r>
      <w:r>
        <w:t>State the question and the intended users of the framework.</w:t>
      </w:r>
    </w:p>
    <w:p>
      <w:pPr>
        <w:spacing w:after="100"/>
      </w:pPr>
      <w:r>
        <w:rPr>
          <w:b/>
        </w:rPr>
        <w:t xml:space="preserve">Suggested wording. </w:t>
      </w:r>
      <w:r>
        <w:t>The question is how EMI textbooks can be examined for the support they offer multilingual students engaged in disciplinary reading. Four evidence layers are connected: the challenge profile, the reader’s account, observable textual evidence, and a transparent coursebook-fit decision.</w:t>
      </w:r>
    </w:p>
    <w:p>
      <w:pPr>
        <w:spacing w:after="100"/>
      </w:pPr>
      <w:r>
        <w:rPr>
          <w:b/>
        </w:rPr>
        <w:t xml:space="preserve">Evidence and caution. </w:t>
      </w:r>
      <w:r>
        <w:t>Name the intended users explicitly: authors, publishers, syllabus designers, and course teams. The contribution is a transparent profile and decision aid, not a universal ranking of textbooks.</w:t>
      </w:r>
    </w:p>
    <w:p>
      <w:pPr>
        <w:spacing w:after="100"/>
      </w:pPr>
      <w:r>
        <w:rPr>
          <w:b/>
        </w:rPr>
        <w:t xml:space="preserve">Transition. </w:t>
      </w:r>
      <w:r>
        <w:rPr>
          <w:i/>
        </w:rPr>
        <w:t>I will now show how the demonstration evidence and the textbook corpus were organised.</w:t>
      </w:r>
    </w:p>
    <w:p>
      <w:pPr>
        <w:spacing w:before="40" w:after="160"/>
      </w:pPr>
      <w:r>
        <w:rPr>
          <w:b/>
          <w:color w:val="D58C00"/>
          <w:sz w:val="19"/>
        </w:rPr>
        <w:t>ADVANCE TO SLIDE 9  Demonstration design and corpus scope</w:t>
      </w:r>
    </w:p>
    <w:p>
      <w:r>
        <w:br w:type="page"/>
      </w:r>
    </w:p>
    <w:p>
      <w:pPr>
        <w:pStyle w:val="Heading2"/>
        <w:keepNext/>
      </w:pPr>
      <w:r>
        <w:t>Slide 9  Demonstration design and corpus scope</w:t>
      </w:r>
    </w:p>
    <w:p>
      <w:pPr>
        <w:spacing w:after="100"/>
      </w:pPr>
      <w:r>
        <w:rPr>
          <w:b/>
        </w:rPr>
        <w:t xml:space="preserve">Purpose. </w:t>
      </w:r>
      <w:r>
        <w:t>Explain the mixed evidence design and sampling logic.</w:t>
      </w:r>
    </w:p>
    <w:p>
      <w:pPr>
        <w:spacing w:after="100"/>
      </w:pPr>
      <w:r>
        <w:rPr>
          <w:b/>
        </w:rPr>
        <w:t xml:space="preserve">Suggested wording. </w:t>
      </w:r>
      <w:r>
        <w:t>The demonstration contains 100 second-year records, 20 semi-structured interviews, ten reviewed textbooks, and 50 matched passages. The ten-book set is balanced: five Electrical Engineering and five International Relations titles. Nine books have complete searchable text layers; the Mano scan contributes five stratified OCR passages.</w:t>
      </w:r>
    </w:p>
    <w:p>
      <w:pPr>
        <w:spacing w:after="100"/>
      </w:pPr>
      <w:r>
        <w:rPr>
          <w:b/>
        </w:rPr>
        <w:t xml:space="preserve">Evidence and caution. </w:t>
      </w:r>
      <w:r>
        <w:t>Second-year students are defensible because nearly all completed a one-year preparatory English programme and are now in their first sustained encounter with disciplinary EMI reading. This captures the transition from general English to discipline-specific academic literacy, while difficulties and support episodes remain recent. Fourth-year students have more experience, but their coping routines may conceal early design barriers. The design targets the transition into disciplinary reading rather than maximum years of exposure.</w:t>
      </w:r>
    </w:p>
    <w:p>
      <w:pPr>
        <w:spacing w:after="100"/>
      </w:pPr>
      <w:r>
        <w:rPr>
          <w:b/>
        </w:rPr>
        <w:t xml:space="preserve">Detail retained from the longer deck. </w:t>
      </w:r>
      <w:r>
        <w:t>The framework-development sequence was: literature-based sensitising functions; neutral open coding of student accounts; textbook coding of forms and bounded distributions; readability and CEFR estimates as an external language lens; and revision into the MIWAE decision tool. Neutral elicitation must precede candidate-feature prompts.</w:t>
      </w:r>
    </w:p>
    <w:p>
      <w:pPr>
        <w:spacing w:after="100"/>
      </w:pPr>
      <w:r>
        <w:rPr>
          <w:b/>
        </w:rPr>
        <w:t xml:space="preserve">Transition. </w:t>
      </w:r>
      <w:r>
        <w:rPr>
          <w:i/>
        </w:rPr>
        <w:t>The analysis pipeline is implemented in an open prototype API.</w:t>
      </w:r>
    </w:p>
    <w:p>
      <w:pPr>
        <w:spacing w:before="40" w:after="160"/>
      </w:pPr>
      <w:r>
        <w:rPr>
          <w:b/>
          <w:color w:val="D58C00"/>
          <w:sz w:val="19"/>
        </w:rPr>
        <w:t>ADVANCE TO SLIDE 10  MIWAE Corpus Analysis API</w:t>
      </w:r>
    </w:p>
    <w:p/>
    <w:p>
      <w:pPr>
        <w:pStyle w:val="Heading2"/>
        <w:keepNext/>
      </w:pPr>
      <w:r>
        <w:t>Slide 10  MIWAE Corpus Analysis API</w:t>
      </w:r>
    </w:p>
    <w:p>
      <w:pPr>
        <w:spacing w:after="100"/>
      </w:pPr>
      <w:r>
        <w:rPr>
          <w:b/>
        </w:rPr>
        <w:t xml:space="preserve">Purpose. </w:t>
      </w:r>
      <w:r>
        <w:t>Explain what the tool does and where human judgement remains necessary.</w:t>
      </w:r>
    </w:p>
    <w:p>
      <w:pPr>
        <w:spacing w:after="100"/>
      </w:pPr>
      <w:r>
        <w:rPr>
          <w:b/>
        </w:rPr>
        <w:t xml:space="preserve">Suggested wording. </w:t>
      </w:r>
      <w:r>
        <w:t>The API accepts text, Markdown, PDF, DOCX, or grouped CSV; segments the material; profiles candidate functions and forms; calculates distribution measures; and exports records for contextual review. The pilot included ten books, 50 stratified passages, 9,810 words, and 260 book-feature rows.</w:t>
      </w:r>
    </w:p>
    <w:p>
      <w:pPr>
        <w:spacing w:after="100"/>
      </w:pPr>
      <w:r>
        <w:rPr>
          <w:b/>
        </w:rPr>
        <w:t xml:space="preserve">Evidence and caution. </w:t>
      </w:r>
      <w:r>
        <w:t>Text Inspector exports and EVP or EGP mappings are optional user-supplied inputs. Do not claim an official live connection to these services. Automatic matches are candidates until a researcher checks the local rhetorical function and context.</w:t>
      </w:r>
    </w:p>
    <w:p>
      <w:pPr>
        <w:spacing w:after="100"/>
      </w:pPr>
      <w:r>
        <w:rPr>
          <w:b/>
        </w:rPr>
        <w:t xml:space="preserve">Transition. </w:t>
      </w:r>
      <w:r>
        <w:rPr>
          <w:i/>
        </w:rPr>
        <w:t>The next three slides show access, execution, and output.</w:t>
      </w:r>
    </w:p>
    <w:p>
      <w:pPr>
        <w:spacing w:before="40" w:after="160"/>
      </w:pPr>
      <w:r>
        <w:rPr>
          <w:b/>
          <w:color w:val="D58C00"/>
          <w:sz w:val="19"/>
        </w:rPr>
        <w:t>ADVANCE TO SLIDE 11  From GitHub to a running local API</w:t>
      </w:r>
    </w:p>
    <w:p>
      <w:r>
        <w:br w:type="page"/>
      </w:r>
    </w:p>
    <w:p>
      <w:pPr>
        <w:pStyle w:val="Heading2"/>
        <w:keepNext/>
      </w:pPr>
      <w:r>
        <w:t>Slide 11  From GitHub to a running local API</w:t>
      </w:r>
    </w:p>
    <w:p>
      <w:pPr>
        <w:spacing w:after="100"/>
      </w:pPr>
      <w:r>
        <w:rPr>
          <w:b/>
        </w:rPr>
        <w:t xml:space="preserve">Purpose. </w:t>
      </w:r>
      <w:r>
        <w:t>Show that the research tool is public and reproducible.</w:t>
      </w:r>
    </w:p>
    <w:p>
      <w:pPr>
        <w:spacing w:after="100"/>
      </w:pPr>
      <w:r>
        <w:rPr>
          <w:b/>
        </w:rPr>
        <w:t xml:space="preserve">Suggested wording. </w:t>
      </w:r>
      <w:r>
        <w:t>The public repository is https://github.com/MehmetDEU/MIWAE. A user clones the repository, creates a virtual environment, installs the package, starts Uvicorn, and then opens the local Swagger interface at http://localhost:8000/docs. The Terminal process must remain running.</w:t>
      </w:r>
    </w:p>
    <w:p>
      <w:pPr>
        <w:spacing w:after="100"/>
      </w:pPr>
      <w:r>
        <w:rPr>
          <w:b/>
        </w:rPr>
        <w:t xml:space="preserve">Evidence and caution. </w:t>
      </w:r>
      <w:r>
        <w:t>GitHub is the public source location. Localhost is a service running only on the user’s own computer. If time is short, describe the three stages without performing the installation live.</w:t>
      </w:r>
    </w:p>
    <w:p>
      <w:pPr>
        <w:spacing w:after="100"/>
      </w:pPr>
      <w:r>
        <w:rPr>
          <w:b/>
        </w:rPr>
        <w:t xml:space="preserve">Transition. </w:t>
      </w:r>
      <w:r>
        <w:rPr>
          <w:i/>
        </w:rPr>
        <w:t>Once Swagger opens, a passage can be submitted in four steps.</w:t>
      </w:r>
    </w:p>
    <w:p>
      <w:pPr>
        <w:spacing w:before="40" w:after="160"/>
      </w:pPr>
      <w:r>
        <w:rPr>
          <w:b/>
          <w:color w:val="D58C00"/>
          <w:sz w:val="19"/>
        </w:rPr>
        <w:t>ADVANCE TO SLIDE 12  Four steps turn a passage into an analysis</w:t>
      </w:r>
    </w:p>
    <w:p/>
    <w:p>
      <w:pPr>
        <w:pStyle w:val="Heading2"/>
        <w:keepNext/>
      </w:pPr>
      <w:r>
        <w:t>Slide 12  Four steps turn a passage into an analysis</w:t>
      </w:r>
    </w:p>
    <w:p>
      <w:pPr>
        <w:spacing w:after="100"/>
      </w:pPr>
      <w:r>
        <w:rPr>
          <w:b/>
        </w:rPr>
        <w:t xml:space="preserve">Purpose. </w:t>
      </w:r>
      <w:r>
        <w:t>Demonstrate the interface without showing an AI application.</w:t>
      </w:r>
    </w:p>
    <w:p>
      <w:pPr>
        <w:spacing w:after="100"/>
      </w:pPr>
      <w:r>
        <w:rPr>
          <w:b/>
        </w:rPr>
        <w:t xml:space="preserve">Suggested wording. </w:t>
      </w:r>
      <w:r>
        <w:t>Open POST /v1/analyze/text, select Try it out, paste the request JSON into the Request body editor, and select Execute. The endpoint label itself is clicked; it is not pasted. Query controls determine whether example hits are returned and how many are shown.</w:t>
      </w:r>
    </w:p>
    <w:p>
      <w:pPr>
        <w:spacing w:after="100"/>
      </w:pPr>
      <w:r>
        <w:rPr>
          <w:b/>
        </w:rPr>
        <w:t xml:space="preserve">Evidence and caution. </w:t>
      </w:r>
      <w:r>
        <w:t>For a live demonstration, use the short circuit passage already shown in the slide. Keep the example short so the audience can see the entire request and response.</w:t>
      </w:r>
    </w:p>
    <w:p>
      <w:pPr>
        <w:spacing w:after="100"/>
      </w:pPr>
      <w:r>
        <w:rPr>
          <w:b/>
        </w:rPr>
        <w:t xml:space="preserve">Transition. </w:t>
      </w:r>
      <w:r>
        <w:rPr>
          <w:i/>
        </w:rPr>
        <w:t>The response then separates evidence layers instead of returning a single unexplained score.</w:t>
      </w:r>
    </w:p>
    <w:p>
      <w:pPr>
        <w:spacing w:before="40" w:after="160"/>
      </w:pPr>
      <w:r>
        <w:rPr>
          <w:b/>
          <w:color w:val="D58C00"/>
          <w:sz w:val="19"/>
        </w:rPr>
        <w:t>ADVANCE TO SLIDE 13  The response separates six inspectable evidence layers</w:t>
      </w:r>
    </w:p>
    <w:p>
      <w:r>
        <w:br w:type="page"/>
      </w:r>
    </w:p>
    <w:p>
      <w:pPr>
        <w:pStyle w:val="Heading2"/>
        <w:keepNext/>
      </w:pPr>
      <w:r>
        <w:t>Slide 13  The response separates six inspectable evidence layers</w:t>
      </w:r>
    </w:p>
    <w:p>
      <w:pPr>
        <w:spacing w:after="100"/>
      </w:pPr>
      <w:r>
        <w:rPr>
          <w:b/>
        </w:rPr>
        <w:t xml:space="preserve">Purpose. </w:t>
      </w:r>
      <w:r>
        <w:t>Explain the output hierarchy and the limits of a short demonstration passage.</w:t>
      </w:r>
    </w:p>
    <w:p>
      <w:pPr>
        <w:spacing w:after="100"/>
      </w:pPr>
      <w:r>
        <w:rPr>
          <w:b/>
        </w:rPr>
        <w:t xml:space="preserve">Suggested wording. </w:t>
      </w:r>
      <w:r>
        <w:t>The response contains the document record, statistics, functions, grammatical forms, distribution rows, segments, and optional external profiles. In the demonstration, a 44-word passage produces six function hits, ten form hits, and 26 distribution rows. High per-10,000 rates are expected with such a short denominator, so this output illustrates structure rather than book-level prevalence.</w:t>
      </w:r>
    </w:p>
    <w:p>
      <w:pPr>
        <w:spacing w:after="100"/>
      </w:pPr>
      <w:r>
        <w:rPr>
          <w:b/>
        </w:rPr>
        <w:t xml:space="preserve">Evidence and caution. </w:t>
      </w:r>
      <w:r>
        <w:t>The API currently returns JSON. The formatted Excel workbook is a companion conversion with Summary, Functions, Forms, Distribution, Segments, and Hits worksheets; it is not yet a built-in export endpoint. Keep the JSON as the machine-readable research record.</w:t>
      </w:r>
    </w:p>
    <w:p>
      <w:pPr>
        <w:spacing w:after="100"/>
      </w:pPr>
      <w:r>
        <w:rPr>
          <w:b/>
        </w:rPr>
        <w:t xml:space="preserve">Transition. </w:t>
      </w:r>
      <w:r>
        <w:rPr>
          <w:i/>
        </w:rPr>
        <w:t>I will now move from infrastructure to the demonstration findings.</w:t>
      </w:r>
    </w:p>
    <w:p>
      <w:pPr>
        <w:spacing w:before="40" w:after="160"/>
      </w:pPr>
      <w:r>
        <w:rPr>
          <w:b/>
          <w:color w:val="D58C00"/>
          <w:sz w:val="19"/>
        </w:rPr>
        <w:t>ADVANCE TO SLIDE 14  Reading challenge profile</w:t>
      </w:r>
    </w:p>
    <w:p/>
    <w:p>
      <w:pPr>
        <w:pStyle w:val="Heading2"/>
        <w:keepNext/>
      </w:pPr>
      <w:r>
        <w:t>Slide 14  Reading challenge profile</w:t>
      </w:r>
    </w:p>
    <w:p>
      <w:pPr>
        <w:spacing w:after="100"/>
      </w:pPr>
      <w:r>
        <w:rPr>
          <w:b/>
        </w:rPr>
        <w:t xml:space="preserve">Purpose. </w:t>
      </w:r>
      <w:r>
        <w:t>Illustrate how challenge, proficiency, and GPA can be presented together.</w:t>
      </w:r>
    </w:p>
    <w:p>
      <w:pPr>
        <w:spacing w:after="100"/>
      </w:pPr>
      <w:r>
        <w:rPr>
          <w:b/>
        </w:rPr>
        <w:t xml:space="preserve">Suggested wording. </w:t>
      </w:r>
      <w:r>
        <w:t>The dataset gives an overall reading-challenge mean of 3.19 on the six-point scale. Specific vocabulary and difficult words are the highest items. Challenge is negatively related to institutional English score and GPA in the data.</w:t>
      </w:r>
    </w:p>
    <w:p>
      <w:pPr>
        <w:spacing w:after="100"/>
      </w:pPr>
      <w:r>
        <w:rPr>
          <w:b/>
        </w:rPr>
        <w:t xml:space="preserve">Evidence and caution. </w:t>
      </w:r>
      <w:r>
        <w:t>These values are descriptive. Do not report p-values, causal effects, or generalise beyond this sample. Report reliability, assumptions, confidence intervals, and the exact institutional score metric.</w:t>
      </w:r>
    </w:p>
    <w:p>
      <w:pPr>
        <w:spacing w:after="100"/>
      </w:pPr>
      <w:r>
        <w:rPr>
          <w:b/>
        </w:rPr>
        <w:t xml:space="preserve">Transition. </w:t>
      </w:r>
      <w:r>
        <w:rPr>
          <w:i/>
        </w:rPr>
        <w:t>The interviews show what a scale score alone cannot reveal: where meaning breaks down and what forms of support students use.</w:t>
      </w:r>
    </w:p>
    <w:p>
      <w:pPr>
        <w:spacing w:before="40" w:after="160"/>
      </w:pPr>
      <w:r>
        <w:rPr>
          <w:b/>
          <w:color w:val="D58C00"/>
          <w:sz w:val="19"/>
        </w:rPr>
        <w:t>ADVANCE TO SLIDE 15  Engineering readers used equations and visuals as parallel routes to meaning</w:t>
      </w:r>
    </w:p>
    <w:p>
      <w:r>
        <w:br w:type="page"/>
      </w:r>
    </w:p>
    <w:p>
      <w:pPr>
        <w:pStyle w:val="Heading2"/>
        <w:keepNext/>
      </w:pPr>
      <w:r>
        <w:t>Slide 15  Engineering readers used equations and visuals as parallel routes to meaning</w:t>
      </w:r>
    </w:p>
    <w:p>
      <w:pPr>
        <w:spacing w:after="100"/>
      </w:pPr>
      <w:r>
        <w:rPr>
          <w:b/>
        </w:rPr>
        <w:t xml:space="preserve">Purpose. </w:t>
      </w:r>
      <w:r>
        <w:t>Illustrate disciplinary meaning making in Engineering.</w:t>
      </w:r>
    </w:p>
    <w:p>
      <w:pPr>
        <w:spacing w:after="100"/>
      </w:pPr>
      <w:r>
        <w:rPr>
          <w:b/>
        </w:rPr>
        <w:t xml:space="preserve">Suggested wording. </w:t>
      </w:r>
      <w:r>
        <w:t>The excerpts show three functions: multimodal verification, precision through labels, and conceptual bridging between procedural steps. Equations, circuits, graphs, and symbols can provide a second route to meaning, but only when their labels and relations are explicit.</w:t>
      </w:r>
    </w:p>
    <w:p>
      <w:pPr>
        <w:spacing w:after="100"/>
      </w:pPr>
      <w:r>
        <w:rPr>
          <w:b/>
        </w:rPr>
        <w:t xml:space="preserve">Evidence and caution. </w:t>
      </w:r>
      <w:r>
        <w:t>Preserve the ordinary spoken style of the interview excerpts.</w:t>
      </w:r>
    </w:p>
    <w:p>
      <w:pPr>
        <w:spacing w:after="100"/>
      </w:pPr>
      <w:r>
        <w:rPr>
          <w:b/>
        </w:rPr>
        <w:t xml:space="preserve">Transition. </w:t>
      </w:r>
      <w:r>
        <w:rPr>
          <w:i/>
        </w:rPr>
        <w:t>International Relations readers describe a different pattern of support.</w:t>
      </w:r>
    </w:p>
    <w:p>
      <w:pPr>
        <w:spacing w:before="40" w:after="160"/>
      </w:pPr>
      <w:r>
        <w:rPr>
          <w:b/>
          <w:color w:val="D58C00"/>
          <w:sz w:val="19"/>
        </w:rPr>
        <w:t>ADVANCE TO SLIDE 16  International Relations readers negotiated competing meanings</w:t>
      </w:r>
    </w:p>
    <w:p/>
    <w:p>
      <w:pPr>
        <w:pStyle w:val="Heading2"/>
        <w:keepNext/>
      </w:pPr>
      <w:r>
        <w:t>Slide 16  International Relations readers negotiated competing meanings</w:t>
      </w:r>
    </w:p>
    <w:p>
      <w:pPr>
        <w:spacing w:after="100"/>
      </w:pPr>
      <w:r>
        <w:rPr>
          <w:b/>
        </w:rPr>
        <w:t xml:space="preserve">Purpose. </w:t>
      </w:r>
      <w:r>
        <w:t>Illustrate the role of perspective, qualification, and comparison.</w:t>
      </w:r>
    </w:p>
    <w:p>
      <w:pPr>
        <w:spacing w:after="100"/>
      </w:pPr>
      <w:r>
        <w:rPr>
          <w:b/>
        </w:rPr>
        <w:t xml:space="preserve">Suggested wording. </w:t>
      </w:r>
      <w:r>
        <w:t>The excerpts highlight term ownership, rhetorical relations, and qualified visual support. Concepts such as power and security can have different meanings across theoretical traditions. A comparison table may orient the reader, but it cannot replace prose that explains overlap, disagreement, and uncertainty.</w:t>
      </w:r>
    </w:p>
    <w:p>
      <w:pPr>
        <w:spacing w:after="100"/>
      </w:pPr>
      <w:r>
        <w:rPr>
          <w:b/>
        </w:rPr>
        <w:t xml:space="preserve">Evidence and caution. </w:t>
      </w:r>
      <w:r>
        <w:t>The broader qualitative synthesis contains four patterns: relations, placement, disciplinary meaning, and mode or discipline. Retain negative cases: some difficulties arise from mathematics, missing prior knowledge, limited time, or rushed reading rather than textbook design.</w:t>
      </w:r>
    </w:p>
    <w:p>
      <w:pPr>
        <w:spacing w:after="100"/>
      </w:pPr>
      <w:r>
        <w:rPr>
          <w:b/>
        </w:rPr>
        <w:t xml:space="preserve">Transition. </w:t>
      </w:r>
      <w:r>
        <w:rPr>
          <w:i/>
        </w:rPr>
        <w:t>The contrast should be described through semiotic resources and epistemic organisation.</w:t>
      </w:r>
    </w:p>
    <w:p>
      <w:pPr>
        <w:spacing w:before="40" w:after="160"/>
      </w:pPr>
      <w:r>
        <w:rPr>
          <w:b/>
          <w:color w:val="D58C00"/>
          <w:sz w:val="19"/>
        </w:rPr>
        <w:t>ADVANCE TO SLIDE 17  Disciplinary difference changes the form of useful support</w:t>
      </w:r>
    </w:p>
    <w:p>
      <w:r>
        <w:br w:type="page"/>
      </w:r>
    </w:p>
    <w:p>
      <w:pPr>
        <w:pStyle w:val="Heading2"/>
        <w:keepNext/>
      </w:pPr>
      <w:r>
        <w:t>Slide 17  Disciplinary difference changes the form of useful support</w:t>
      </w:r>
    </w:p>
    <w:p>
      <w:pPr>
        <w:spacing w:after="100"/>
      </w:pPr>
      <w:r>
        <w:rPr>
          <w:b/>
        </w:rPr>
        <w:t xml:space="preserve">Purpose. </w:t>
      </w:r>
      <w:r>
        <w:t>Make the disciplinary comparison without using a simple objective-versus-subjective binary.</w:t>
      </w:r>
    </w:p>
    <w:p>
      <w:pPr>
        <w:spacing w:after="100"/>
      </w:pPr>
      <w:r>
        <w:rPr>
          <w:b/>
        </w:rPr>
        <w:t xml:space="preserve">Suggested wording. </w:t>
      </w:r>
      <w:r>
        <w:t>Engineering often coordinates prose, formulae, diagrams, and worked procedures. International Relations often coordinates theoretical perspective, historical context, and qualified argument. These are tendencies in the sampled materials, not fixed properties of all texts in either field.</w:t>
      </w:r>
    </w:p>
    <w:p>
      <w:pPr>
        <w:spacing w:after="100"/>
      </w:pPr>
      <w:r>
        <w:rPr>
          <w:b/>
        </w:rPr>
        <w:t xml:space="preserve">Evidence and caution. </w:t>
      </w:r>
      <w:r>
        <w:t>Avoid saying that Engineering is purely objective and International Relations merely subjective. The defensible claim is that the fields organise evidence and meaning through different semiotic and epistemic resources. MIWAE therefore evaluates disciplinary fit.</w:t>
      </w:r>
    </w:p>
    <w:p>
      <w:pPr>
        <w:spacing w:after="100"/>
      </w:pPr>
      <w:r>
        <w:rPr>
          <w:b/>
        </w:rPr>
        <w:t xml:space="preserve">Transition. </w:t>
      </w:r>
      <w:r>
        <w:rPr>
          <w:i/>
        </w:rPr>
        <w:t>The next slide shows how the seven functions appear in located textbook examples.</w:t>
      </w:r>
    </w:p>
    <w:p>
      <w:pPr>
        <w:spacing w:before="40" w:after="160"/>
      </w:pPr>
      <w:r>
        <w:rPr>
          <w:b/>
          <w:color w:val="D58C00"/>
          <w:sz w:val="19"/>
        </w:rPr>
        <w:t>ADVANCE TO SLIDE 18  Located textbook examples across the seven functions</w:t>
      </w:r>
    </w:p>
    <w:p/>
    <w:p>
      <w:pPr>
        <w:pStyle w:val="Heading2"/>
        <w:keepNext/>
      </w:pPr>
      <w:r>
        <w:t>Slide 18  Located textbook examples across the seven functions</w:t>
      </w:r>
    </w:p>
    <w:p>
      <w:pPr>
        <w:spacing w:after="100"/>
      </w:pPr>
      <w:r>
        <w:rPr>
          <w:b/>
        </w:rPr>
        <w:t xml:space="preserve">Purpose. </w:t>
      </w:r>
      <w:r>
        <w:t>Connect abstract functions to observable forms in the textbook corpus.</w:t>
      </w:r>
    </w:p>
    <w:p>
      <w:pPr>
        <w:spacing w:after="100"/>
      </w:pPr>
      <w:r>
        <w:rPr>
          <w:b/>
        </w:rPr>
        <w:t xml:space="preserve">Suggested wording. </w:t>
      </w:r>
      <w:r>
        <w:t>Walk down the table quickly: definitions can support meaning access; Reader’s Guides can provide orientation; contrast markers can expose rhetorical relations; familiar labels can supply background knowledge; recall cues can reactivate prior concepts; embedded exercises can support self-monitoring; and figure references with labels can coordinate modes.</w:t>
      </w:r>
    </w:p>
    <w:p>
      <w:pPr>
        <w:spacing w:after="100"/>
      </w:pPr>
      <w:r>
        <w:rPr>
          <w:b/>
        </w:rPr>
        <w:t xml:space="preserve">Evidence and caution. </w:t>
      </w:r>
      <w:r>
        <w:t>Additional located examples moved from the slides include Mingst’s in-text explanation of fracking for background knowledge, Mingst’s “as discussed in Chapter 3” for conceptual continuity, and Baylis’s questions inviting readers to reconsider globalisation for reader engagement. A surface form does not determine its function; local rhetorical purpose must be coded.</w:t>
      </w:r>
    </w:p>
    <w:p>
      <w:pPr>
        <w:spacing w:after="100"/>
      </w:pPr>
      <w:r>
        <w:rPr>
          <w:b/>
        </w:rPr>
        <w:t xml:space="preserve">Transition. </w:t>
      </w:r>
      <w:r>
        <w:rPr>
          <w:i/>
        </w:rPr>
        <w:t>Located examples illustrate function and form. Distribution requires systematic counting across eligible opportunities.</w:t>
      </w:r>
    </w:p>
    <w:p>
      <w:pPr>
        <w:spacing w:before="40" w:after="160"/>
      </w:pPr>
      <w:r>
        <w:rPr>
          <w:b/>
          <w:color w:val="D58C00"/>
          <w:sz w:val="19"/>
        </w:rPr>
        <w:t>ADVANCE TO SLIDE 19  Visual scaffolding varied sharply by discipline</w:t>
      </w:r>
    </w:p>
    <w:p>
      <w:r>
        <w:br w:type="page"/>
      </w:r>
    </w:p>
    <w:p>
      <w:pPr>
        <w:pStyle w:val="Heading2"/>
        <w:keepNext/>
      </w:pPr>
      <w:r>
        <w:t>Slide 19  Visual scaffolding varied sharply by discipline</w:t>
      </w:r>
    </w:p>
    <w:p>
      <w:pPr>
        <w:spacing w:after="100"/>
      </w:pPr>
      <w:r>
        <w:rPr>
          <w:b/>
        </w:rPr>
        <w:t xml:space="preserve">Purpose. </w:t>
      </w:r>
      <w:r>
        <w:t>Show convergence between the reader account and the corpus proxy.</w:t>
      </w:r>
    </w:p>
    <w:p>
      <w:pPr>
        <w:spacing w:after="100"/>
      </w:pPr>
      <w:r>
        <w:rPr>
          <w:b/>
        </w:rPr>
        <w:t xml:space="preserve">Suggested wording. </w:t>
      </w:r>
      <w:r>
        <w:t>Eight of ten Engineering interviewees mention a graph, table, diagram, or worked visual as helpful, while none of the ten International Relations interviewees does so spontaneously. In the nine complete text layers, figure-reference density is much higher in the Engineering books.</w:t>
      </w:r>
    </w:p>
    <w:p>
      <w:pPr>
        <w:spacing w:after="100"/>
      </w:pPr>
      <w:r>
        <w:rPr>
          <w:b/>
        </w:rPr>
        <w:t xml:space="preserve">Evidence and caution. </w:t>
      </w:r>
      <w:r>
        <w:t>Figure references are a proxy for visual apparatus, not a direct image count. Mano is excluded from the whole-text calculation because only five OCR passages are available. Treat the convergence as a criterion-generating observation rather than a validated causal finding.</w:t>
      </w:r>
    </w:p>
    <w:p>
      <w:pPr>
        <w:spacing w:after="100"/>
      </w:pPr>
      <w:r>
        <w:rPr>
          <w:b/>
        </w:rPr>
        <w:t xml:space="preserve">Transition. </w:t>
      </w:r>
      <w:r>
        <w:rPr>
          <w:i/>
        </w:rPr>
        <w:t>Language-analysis tools describe another part of the picture: conventional prose burden.</w:t>
      </w:r>
    </w:p>
    <w:p>
      <w:pPr>
        <w:spacing w:before="40" w:after="160"/>
      </w:pPr>
      <w:r>
        <w:rPr>
          <w:b/>
          <w:color w:val="D58C00"/>
          <w:sz w:val="19"/>
        </w:rPr>
        <w:t>ADVANCE TO SLIDE 20  IR prose carried more conventional readability burden</w:t>
      </w:r>
    </w:p>
    <w:p/>
    <w:p>
      <w:pPr>
        <w:pStyle w:val="Heading2"/>
        <w:keepNext/>
      </w:pPr>
      <w:r>
        <w:t>Slide 20  IR prose carried more conventional readability burden</w:t>
      </w:r>
    </w:p>
    <w:p>
      <w:pPr>
        <w:spacing w:after="100"/>
      </w:pPr>
      <w:r>
        <w:rPr>
          <w:b/>
        </w:rPr>
        <w:t xml:space="preserve">Purpose. </w:t>
      </w:r>
      <w:r>
        <w:t>Present the matched-passage comparison while limiting the interpretation.</w:t>
      </w:r>
    </w:p>
    <w:p>
      <w:pPr>
        <w:spacing w:after="100"/>
      </w:pPr>
      <w:r>
        <w:rPr>
          <w:b/>
        </w:rPr>
        <w:t xml:space="preserve">Suggested wording. </w:t>
      </w:r>
      <w:r>
        <w:t>Across 25 passages per field, the International Relations sample has higher Flesch–Kincaid grade and Gunning Fog values, lower reading ease, longer sentences, and substantially higher VOCD lexical diversity. Academic-word proportions are slightly higher in Engineering, and metadiscourse means are similar.</w:t>
      </w:r>
    </w:p>
    <w:p>
      <w:pPr>
        <w:spacing w:after="100"/>
      </w:pPr>
      <w:r>
        <w:rPr>
          <w:b/>
        </w:rPr>
        <w:t xml:space="preserve">Evidence and caution. </w:t>
      </w:r>
      <w:r>
        <w:t>Readability and estimated CEFR describe linguistic form. They do not measure conceptual accessibility, visual support, pragmatic competence, or ELFA friendliness. The passage-level design is descriptive and needs independent resampling. CEFR spans report the minimum and maximum labels across five passages; D1 is the platform band above C2. Mano is represented by OCR passages and cannot support whole-book frequency claims.</w:t>
      </w:r>
    </w:p>
    <w:p>
      <w:pPr>
        <w:spacing w:after="100"/>
      </w:pPr>
      <w:r>
        <w:rPr>
          <w:b/>
        </w:rPr>
        <w:t xml:space="preserve">Detail retained from the longer deck. </w:t>
      </w:r>
      <w:r>
        <w:t>Book-level detail moved from the slide is provided in the tables immediately after these notes.</w:t>
      </w:r>
    </w:p>
    <w:p>
      <w:pPr>
        <w:spacing w:after="100"/>
      </w:pPr>
      <w:r>
        <w:rPr>
          <w:b/>
        </w:rPr>
        <w:t xml:space="preserve">Transition. </w:t>
      </w:r>
      <w:r>
        <w:rPr>
          <w:i/>
        </w:rPr>
        <w:t>The discussion integrates reader evidence and textual evidence without collapsing them.</w:t>
      </w:r>
    </w:p>
    <w:p>
      <w:pPr>
        <w:spacing w:before="40" w:after="160"/>
      </w:pPr>
      <w:r>
        <w:rPr>
          <w:b/>
          <w:color w:val="D58C00"/>
          <w:sz w:val="19"/>
        </w:rPr>
        <w:t>ADVANCE TO SLIDE 21  Language burden and support operate through different routes</w:t>
      </w:r>
    </w:p>
    <w:p>
      <w:r>
        <w:br w:type="page"/>
      </w:r>
    </w:p>
    <w:p>
      <w:pPr>
        <w:pStyle w:val="Heading2"/>
      </w:pPr>
      <w:r>
        <w:t>Book level profiles retained in the notes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320"/>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Book</w:t>
            </w:r>
          </w:p>
        </w:tc>
        <w:tc>
          <w:tcPr>
            <w:tcW w:type="dxa" w:w="792"/>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Field</w:t>
            </w:r>
          </w:p>
        </w:tc>
        <w:tc>
          <w:tcPr>
            <w:tcW w:type="dxa" w:w="1440"/>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Observed CEFR span</w:t>
            </w:r>
          </w:p>
        </w:tc>
        <w:tc>
          <w:tcPr>
            <w:tcW w:type="dxa" w:w="1080"/>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FK grade</w:t>
            </w:r>
          </w:p>
        </w:tc>
        <w:tc>
          <w:tcPr>
            <w:tcW w:type="dxa" w:w="1152"/>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VOCD</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Hambley Electrical Engineering</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B2+–D1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12.67</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63.13</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Mano Digital Logic</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B2–C1+</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10.13</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53.51</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Oppenheim Signals and Systems</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C1+–D1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16.37</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62.86</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Sadiku Electric Circuits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B2+–C2+</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13.22</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73.39</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Sedra Microelectronic Circuits</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C1–C2+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12.85</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54.70</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Baylis Globalization of World Politics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C1+–D1</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15.32</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94.71</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Blanton World Politics</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C2–D1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16.45</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112.93</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Dunne International Relations Theories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C1+–D1</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15.46</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99.17</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Goldstein International Relations Brief</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C1–C2+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12.91</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97.00</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Mingst Essentials of International Relations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C1–C2+</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14.75</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95.94</w:t>
            </w:r>
          </w:p>
        </w:tc>
      </w:tr>
    </w:tbl>
    <w:p>
      <w:r>
        <w:br w:type="page"/>
      </w:r>
    </w:p>
    <w:p>
      <w:pPr>
        <w:pStyle w:val="Heading2"/>
        <w:keepNext/>
      </w:pPr>
      <w:r>
        <w:t>Slide 21  Language burden and support operate through different routes</w:t>
      </w:r>
    </w:p>
    <w:p>
      <w:pPr>
        <w:spacing w:after="100"/>
      </w:pPr>
      <w:r>
        <w:rPr>
          <w:b/>
        </w:rPr>
        <w:t xml:space="preserve">Purpose. </w:t>
      </w:r>
      <w:r>
        <w:t>Integrate the disciplinary findings and state the boundaries of the claim.</w:t>
      </w:r>
    </w:p>
    <w:p>
      <w:pPr>
        <w:spacing w:after="100"/>
      </w:pPr>
      <w:r>
        <w:rPr>
          <w:b/>
        </w:rPr>
        <w:t xml:space="preserve">Suggested wording. </w:t>
      </w:r>
      <w:r>
        <w:t>Engineering readers valued figures, labels, and bridges between procedural steps; the full-text corpus also contained more figure references. International Relations readers valued perspective marking, qualification, and comparison; its matched prose sample used longer sentences and had higher lexical diversity.</w:t>
      </w:r>
    </w:p>
    <w:p>
      <w:pPr>
        <w:spacing w:after="100"/>
      </w:pPr>
      <w:r>
        <w:rPr>
          <w:b/>
        </w:rPr>
        <w:t xml:space="preserve">Evidence and caution. </w:t>
      </w:r>
      <w:r>
        <w:t>Readability cannot establish ELFA friendliness. Figure references are proxies. Interview patterns illustrate the framework but cannot validate it. A coursebook decision must combine reader evidence with function, form, placement, distribution, and disciplinary fit.</w:t>
      </w:r>
    </w:p>
    <w:p>
      <w:pPr>
        <w:spacing w:after="100"/>
      </w:pPr>
      <w:r>
        <w:rPr>
          <w:b/>
        </w:rPr>
        <w:t xml:space="preserve">Transition. </w:t>
      </w:r>
      <w:r>
        <w:rPr>
          <w:i/>
        </w:rPr>
        <w:t>This integration leads to the framework’s three analytic questions.</w:t>
      </w:r>
    </w:p>
    <w:p>
      <w:pPr>
        <w:spacing w:before="40" w:after="160"/>
      </w:pPr>
      <w:r>
        <w:rPr>
          <w:b/>
          <w:color w:val="D58C00"/>
          <w:sz w:val="19"/>
        </w:rPr>
        <w:t>ADVANCE TO SLIDE 22  Function, form and distribution answer different questions</w:t>
      </w:r>
    </w:p>
    <w:p/>
    <w:p>
      <w:pPr>
        <w:pStyle w:val="Heading2"/>
        <w:keepNext/>
      </w:pPr>
      <w:r>
        <w:t>Slide 22  Function, form and distribution answer different questions</w:t>
      </w:r>
    </w:p>
    <w:p>
      <w:pPr>
        <w:spacing w:after="100"/>
      </w:pPr>
      <w:r>
        <w:rPr>
          <w:b/>
        </w:rPr>
        <w:t xml:space="preserve">Purpose. </w:t>
      </w:r>
      <w:r>
        <w:t>Clarify the three-part analytic structure, especially distribution.</w:t>
      </w:r>
    </w:p>
    <w:p>
      <w:pPr>
        <w:spacing w:after="100"/>
      </w:pPr>
      <w:r>
        <w:rPr>
          <w:b/>
        </w:rPr>
        <w:t xml:space="preserve">Suggested wording. </w:t>
      </w:r>
      <w:r>
        <w:t>Function asks which reader need is addressed. Form asks which observable textual, visual, or numeric device supplies the support. Distribution asks how reliably the device is available across eligible points of need. Reader evidence asks whether students notice, use, or still need the support.</w:t>
      </w:r>
    </w:p>
    <w:p>
      <w:pPr>
        <w:spacing w:after="100"/>
      </w:pPr>
      <w:r>
        <w:rPr>
          <w:b/>
        </w:rPr>
        <w:t xml:space="preserve">Evidence and caution. </w:t>
      </w:r>
      <w:r>
        <w:t>Keep textual and perceived distribution separate. Textual distribution records coverage, timing, and spread in the sampled book. Perceived distribution records how many participants mention a need or support. Distribution requires an opportunity denominator: for example, four supported first introductions out of six eligible first introductions.</w:t>
      </w:r>
    </w:p>
    <w:p>
      <w:pPr>
        <w:spacing w:after="100"/>
      </w:pPr>
      <w:r>
        <w:rPr>
          <w:b/>
        </w:rPr>
        <w:t xml:space="preserve">Transition. </w:t>
      </w:r>
      <w:r>
        <w:rPr>
          <w:i/>
        </w:rPr>
        <w:t>The next slide lists the forms and denominators that make these questions codeable.</w:t>
      </w:r>
    </w:p>
    <w:p>
      <w:pPr>
        <w:spacing w:before="40" w:after="160"/>
      </w:pPr>
      <w:r>
        <w:rPr>
          <w:b/>
          <w:color w:val="D58C00"/>
          <w:sz w:val="19"/>
        </w:rPr>
        <w:t>ADVANCE TO SLIDE 23  Forms and distributions use explicit coding indicators</w:t>
      </w:r>
    </w:p>
    <w:p>
      <w:r>
        <w:br w:type="page"/>
      </w:r>
    </w:p>
    <w:p>
      <w:pPr>
        <w:pStyle w:val="Heading2"/>
        <w:keepNext/>
      </w:pPr>
      <w:r>
        <w:t>Slide 23  Forms and distributions use explicit coding indicators</w:t>
      </w:r>
    </w:p>
    <w:p>
      <w:pPr>
        <w:spacing w:after="100"/>
      </w:pPr>
      <w:r>
        <w:rPr>
          <w:b/>
        </w:rPr>
        <w:t xml:space="preserve">Purpose. </w:t>
      </w:r>
      <w:r>
        <w:t>Present the coding inventory as open and conditional.</w:t>
      </w:r>
    </w:p>
    <w:p>
      <w:pPr>
        <w:spacing w:after="100"/>
      </w:pPr>
      <w:r>
        <w:rPr>
          <w:b/>
        </w:rPr>
        <w:t xml:space="preserve">Suggested wording. </w:t>
      </w:r>
      <w:r>
        <w:t>Each function is linked to observable forms and to a distribution rule. Meaning access uses definitions, glosses, paraphrases, or worked examples. Orientation uses previews, headings, recaps, and cross-references. Rhetorical relations use contrast, cause, qualification, and importance cues. The remaining functions use context notes, analogies, recall cues, questions, feedback, labels, captions, worked graphs, and aligned notation.</w:t>
      </w:r>
    </w:p>
    <w:p>
      <w:pPr>
        <w:spacing w:after="100"/>
      </w:pPr>
      <w:r>
        <w:rPr>
          <w:b/>
        </w:rPr>
        <w:t xml:space="preserve">Evidence and caution. </w:t>
      </w:r>
      <w:r>
        <w:t>The forms are not a closed checklist. An eligible opportunity exists only where the communicative need occurs. Define the denominator before coding and record proximity, timing, recurrence, and spread.</w:t>
      </w:r>
    </w:p>
    <w:p>
      <w:pPr>
        <w:spacing w:after="100"/>
      </w:pPr>
      <w:r>
        <w:rPr>
          <w:b/>
        </w:rPr>
        <w:t xml:space="preserve">Transition. </w:t>
      </w:r>
      <w:r>
        <w:rPr>
          <w:i/>
        </w:rPr>
        <w:t>A six-step review procedure turns this inventory into a reproducible book-selection process.</w:t>
      </w:r>
    </w:p>
    <w:p>
      <w:pPr>
        <w:spacing w:before="40" w:after="160"/>
      </w:pPr>
      <w:r>
        <w:rPr>
          <w:b/>
          <w:color w:val="D58C00"/>
          <w:sz w:val="19"/>
        </w:rPr>
        <w:t>ADVANCE TO SLIDE 24  MIWAE coursebook-fit review in six steps</w:t>
      </w:r>
    </w:p>
    <w:p/>
    <w:p>
      <w:pPr>
        <w:pStyle w:val="Heading2"/>
        <w:keepNext/>
      </w:pPr>
      <w:r>
        <w:t>Slide 24  MIWAE coursebook-fit review in six steps</w:t>
      </w:r>
    </w:p>
    <w:p>
      <w:pPr>
        <w:spacing w:after="100"/>
      </w:pPr>
      <w:r>
        <w:rPr>
          <w:b/>
        </w:rPr>
        <w:t xml:space="preserve">Purpose. </w:t>
      </w:r>
      <w:r>
        <w:t>Show how an author, publisher, or syllabus designer would use MIWAE.</w:t>
      </w:r>
    </w:p>
    <w:p>
      <w:pPr>
        <w:spacing w:after="100"/>
      </w:pPr>
      <w:r>
        <w:rPr>
          <w:b/>
        </w:rPr>
        <w:t xml:space="preserve">Suggested wording. </w:t>
      </w:r>
      <w:r>
        <w:t>First profile the course and readers. Second set priorities before opening the books. Third sample the same types of locations in every candidate. Fourth code function, form, and distribution. Fifth rate the support and tag the evidence. Sixth choose, supplement, or reconsider the candidate.</w:t>
      </w:r>
    </w:p>
    <w:p>
      <w:pPr>
        <w:spacing w:after="100"/>
      </w:pPr>
      <w:r>
        <w:rPr>
          <w:b/>
        </w:rPr>
        <w:t xml:space="preserve">Evidence and caution. </w:t>
      </w:r>
      <w:r>
        <w:t>Use identical sampling rules and priorities for all candidates to prevent post hoc scoring. The same procedure can support manuscript review by authors and publishers: define the intended readers, identify essential dimensions, inspect eligible points, and revise gaps before publication.</w:t>
      </w:r>
    </w:p>
    <w:p>
      <w:pPr>
        <w:spacing w:after="100"/>
      </w:pPr>
      <w:r>
        <w:rPr>
          <w:b/>
        </w:rPr>
        <w:t xml:space="preserve">Transition. </w:t>
      </w:r>
      <w:r>
        <w:rPr>
          <w:i/>
        </w:rPr>
        <w:t>The rubric makes the decision criteria explicit.</w:t>
      </w:r>
    </w:p>
    <w:p>
      <w:pPr>
        <w:spacing w:before="40" w:after="160"/>
      </w:pPr>
      <w:r>
        <w:rPr>
          <w:b/>
          <w:color w:val="D58C00"/>
          <w:sz w:val="19"/>
        </w:rPr>
        <w:t>ADVANCE TO SLIDE 25  Coursebook-fit rubric, dimensions 1–4</w:t>
      </w:r>
    </w:p>
    <w:p>
      <w:r>
        <w:br w:type="page"/>
      </w:r>
    </w:p>
    <w:p>
      <w:pPr>
        <w:pStyle w:val="Heading2"/>
        <w:keepNext/>
      </w:pPr>
      <w:r>
        <w:t>Slide 25  Coursebook-fit rubric, dimensions 1–4</w:t>
      </w:r>
    </w:p>
    <w:p>
      <w:pPr>
        <w:spacing w:after="100"/>
      </w:pPr>
      <w:r>
        <w:rPr>
          <w:b/>
        </w:rPr>
        <w:t xml:space="preserve">Purpose. </w:t>
      </w:r>
      <w:r>
        <w:t>Explain the first four dimensions and the meaning of the scale.</w:t>
      </w:r>
    </w:p>
    <w:p>
      <w:pPr>
        <w:spacing w:after="100"/>
      </w:pPr>
      <w:r>
        <w:rPr>
          <w:b/>
        </w:rPr>
        <w:t xml:space="preserve">Suggested wording. </w:t>
      </w:r>
      <w:r>
        <w:t>The 0–3 ratings distinguish unsupported, limited, adequate, and systematic support. The first four dimensions are meaning access, orientation, rhetorical relations, and background knowledge. A systematic score requires consistent alignment across the sampled locations, not the presence of one good example.</w:t>
      </w:r>
    </w:p>
    <w:p>
      <w:pPr>
        <w:spacing w:after="100"/>
      </w:pPr>
      <w:r>
        <w:rPr>
          <w:b/>
        </w:rPr>
        <w:t xml:space="preserve">Evidence and caution. </w:t>
      </w:r>
      <w:r>
        <w:t>Rate sampled evidence rather than an impression of the entire book. Use not applicable only when the dimension is genuinely irrelevant to the course and sample.</w:t>
      </w:r>
    </w:p>
    <w:p>
      <w:pPr>
        <w:spacing w:after="100"/>
      </w:pPr>
      <w:r>
        <w:rPr>
          <w:b/>
        </w:rPr>
        <w:t xml:space="preserve">Transition. </w:t>
      </w:r>
      <w:r>
        <w:rPr>
          <w:i/>
        </w:rPr>
        <w:t>The remaining dimensions cover continuity, engagement, and multimodal support.</w:t>
      </w:r>
    </w:p>
    <w:p>
      <w:pPr>
        <w:spacing w:before="40" w:after="160"/>
      </w:pPr>
      <w:r>
        <w:rPr>
          <w:b/>
          <w:color w:val="D58C00"/>
          <w:sz w:val="19"/>
        </w:rPr>
        <w:t>ADVANCE TO SLIDE 26  Coursebook-fit rubric, dimensions 5–7 and gates</w:t>
      </w:r>
    </w:p>
    <w:p/>
    <w:p>
      <w:pPr>
        <w:pStyle w:val="Heading2"/>
        <w:keepNext/>
      </w:pPr>
      <w:r>
        <w:t>Slide 26  Coursebook-fit rubric, dimensions 5–7 and gates</w:t>
      </w:r>
    </w:p>
    <w:p>
      <w:pPr>
        <w:spacing w:after="100"/>
      </w:pPr>
      <w:r>
        <w:rPr>
          <w:b/>
        </w:rPr>
        <w:t xml:space="preserve">Purpose. </w:t>
      </w:r>
      <w:r>
        <w:t>Complete the rubric and explain the non-negotiable quality gates.</w:t>
      </w:r>
    </w:p>
    <w:p>
      <w:pPr>
        <w:spacing w:after="100"/>
      </w:pPr>
      <w:r>
        <w:rPr>
          <w:b/>
        </w:rPr>
        <w:t xml:space="preserve">Suggested wording. </w:t>
      </w:r>
      <w:r>
        <w:t>Conceptual continuity asks whether prerequisites are reactivated when needed. Reader engagement asks whether readers can monitor understanding through relevant questions, checks, or worked reasoning. Multimodal support asks whether prose, visuals, and notation explain one another.</w:t>
      </w:r>
    </w:p>
    <w:p>
      <w:pPr>
        <w:spacing w:after="100"/>
      </w:pPr>
      <w:r>
        <w:rPr>
          <w:b/>
        </w:rPr>
        <w:t xml:space="preserve">Evidence and caution. </w:t>
      </w:r>
      <w:r>
        <w:t>Four gates override a high support score: disciplinary accuracy, preserved precision, absence of a native-speaker deficit assumption, and fit with the course’s epistemic and multimodal practices. An inaccurate simplification cannot receive an acceptable coursebook-fit decision.</w:t>
      </w:r>
    </w:p>
    <w:p>
      <w:pPr>
        <w:spacing w:after="100"/>
      </w:pPr>
      <w:r>
        <w:rPr>
          <w:b/>
        </w:rPr>
        <w:t xml:space="preserve">Transition. </w:t>
      </w:r>
      <w:r>
        <w:rPr>
          <w:i/>
        </w:rPr>
        <w:t>The final decision rule separates textual evidence from reader and comprehension evidence.</w:t>
      </w:r>
    </w:p>
    <w:p>
      <w:pPr>
        <w:spacing w:before="40" w:after="160"/>
      </w:pPr>
      <w:r>
        <w:rPr>
          <w:b/>
          <w:color w:val="D58C00"/>
          <w:sz w:val="19"/>
        </w:rPr>
        <w:t>ADVANCE TO SLIDE 27  Evidence tags and the coursebook decision rule</w:t>
      </w:r>
    </w:p>
    <w:p>
      <w:r>
        <w:br w:type="page"/>
      </w:r>
    </w:p>
    <w:p>
      <w:pPr>
        <w:pStyle w:val="Heading2"/>
        <w:keepNext/>
      </w:pPr>
      <w:r>
        <w:t>Slide 27  Evidence tags and the coursebook decision rule</w:t>
      </w:r>
    </w:p>
    <w:p>
      <w:pPr>
        <w:spacing w:after="100"/>
      </w:pPr>
      <w:r>
        <w:rPr>
          <w:b/>
        </w:rPr>
        <w:t xml:space="preserve">Purpose. </w:t>
      </w:r>
      <w:r>
        <w:t>Explain how evidence strength and local priorities determine the decision.</w:t>
      </w:r>
    </w:p>
    <w:p>
      <w:pPr>
        <w:spacing w:after="100"/>
      </w:pPr>
      <w:r>
        <w:rPr>
          <w:b/>
        </w:rPr>
        <w:t xml:space="preserve">Suggested wording. </w:t>
      </w:r>
      <w:r>
        <w:t>T means located textual evidence with a sampled denominator. TP adds participant perception. TPC adds comprehension or outcome evidence. A book is chosen when every essential dimension scores at least two and all gates pass. It is chosen with supplementation when one essential dimension scores one and the gap can be covered explicitly. It is reconsidered when an essential dimension scores zero, placement repeatedly fails, or an accuracy gate fails.</w:t>
      </w:r>
    </w:p>
    <w:p>
      <w:pPr>
        <w:spacing w:after="100"/>
      </w:pPr>
      <w:r>
        <w:rPr>
          <w:b/>
        </w:rPr>
        <w:t xml:space="preserve">Evidence and caution. </w:t>
      </w:r>
      <w:r>
        <w:t>Set E, S, and N/A priorities before review. Compare candidates dimension by dimension. Do not publish a universal total score until the instrument has been validated.</w:t>
      </w:r>
    </w:p>
    <w:p>
      <w:pPr>
        <w:spacing w:after="100"/>
      </w:pPr>
      <w:r>
        <w:rPr>
          <w:b/>
        </w:rPr>
        <w:t xml:space="preserve">Transition. </w:t>
      </w:r>
      <w:r>
        <w:rPr>
          <w:i/>
        </w:rPr>
        <w:t>The conclusion returns to the pragmatic contribution for authors and publishers.</w:t>
      </w:r>
    </w:p>
    <w:p>
      <w:pPr>
        <w:spacing w:before="40" w:after="160"/>
      </w:pPr>
      <w:r>
        <w:rPr>
          <w:b/>
          <w:color w:val="D58C00"/>
          <w:sz w:val="19"/>
        </w:rPr>
        <w:t>ADVANCE TO SLIDE 28  ELFA friendliness becomes reviewable when reader needs are tied to observable textbook choices</w:t>
      </w:r>
    </w:p>
    <w:p/>
    <w:p>
      <w:pPr>
        <w:pStyle w:val="Heading2"/>
        <w:keepNext/>
      </w:pPr>
      <w:r>
        <w:t>Slide 28  ELFA friendliness becomes reviewable when reader needs are tied to observable textbook choices</w:t>
      </w:r>
    </w:p>
    <w:p>
      <w:pPr>
        <w:spacing w:after="100"/>
      </w:pPr>
      <w:r>
        <w:rPr>
          <w:b/>
        </w:rPr>
        <w:t xml:space="preserve">Purpose. </w:t>
      </w:r>
      <w:r>
        <w:t>Close with the contribution and invite critique of the framework.</w:t>
      </w:r>
    </w:p>
    <w:p>
      <w:pPr>
        <w:spacing w:after="100"/>
      </w:pPr>
      <w:r>
        <w:rPr>
          <w:b/>
        </w:rPr>
        <w:t xml:space="preserve">Suggested wording. </w:t>
      </w:r>
      <w:r>
        <w:t>MIWAE positions textbook review between written EAP and communication-oriented academic ELF. The ten-book pilot shows why conventional language burden, visual support, and disciplinary meaning must be interpreted together. The rubric and open API make the review process inspectable while preserving disciplinary precision.</w:t>
      </w:r>
    </w:p>
    <w:p>
      <w:pPr>
        <w:spacing w:after="100"/>
      </w:pPr>
      <w:r>
        <w:rPr>
          <w:b/>
        </w:rPr>
        <w:t xml:space="preserve">Evidence and caution. </w:t>
      </w:r>
      <w:r>
        <w:t>Invite the audience to test the dimensions and decision rule against books they write, publish, select, or teach from. Ask which dimensions are missing and which opportunity denominators are feasible in real editorial workflows.</w:t>
      </w:r>
    </w:p>
    <w:p>
      <w:pPr>
        <w:spacing w:after="100"/>
      </w:pPr>
      <w:r>
        <w:rPr>
          <w:b/>
        </w:rPr>
        <w:t xml:space="preserve">Transition. </w:t>
      </w:r>
      <w:r>
        <w:rPr>
          <w:i/>
        </w:rPr>
        <w:t>If time permits, use the final two slides for evidence status and references; otherwise keep them for questions.</w:t>
      </w:r>
    </w:p>
    <w:p>
      <w:pPr>
        <w:spacing w:before="40" w:after="160"/>
      </w:pPr>
      <w:r>
        <w:rPr>
          <w:b/>
          <w:color w:val="D58C00"/>
          <w:sz w:val="19"/>
        </w:rPr>
        <w:t>ADVANCE TO SLIDE 29  Evidence status and next validation steps</w:t>
      </w:r>
    </w:p>
    <w:p>
      <w:r>
        <w:br w:type="page"/>
      </w:r>
    </w:p>
    <w:p>
      <w:pPr>
        <w:pStyle w:val="Heading2"/>
        <w:keepNext/>
      </w:pPr>
      <w:r>
        <w:t>Slide 29  Evidence status and next validation steps</w:t>
      </w:r>
    </w:p>
    <w:p>
      <w:pPr>
        <w:spacing w:after="100"/>
      </w:pPr>
      <w:r>
        <w:rPr>
          <w:b/>
        </w:rPr>
        <w:t xml:space="preserve">Purpose. </w:t>
      </w:r>
      <w:r>
        <w:t>State the project’s current limits transparently.</w:t>
      </w:r>
    </w:p>
    <w:p>
      <w:pPr>
        <w:spacing w:after="100"/>
      </w:pPr>
      <w:r>
        <w:rPr>
          <w:b/>
        </w:rPr>
        <w:t xml:space="preserve">Suggested wording. </w:t>
      </w:r>
      <w:r>
        <w:t>The student records and interviews are from the study sample. The corpus contains ten books, with nine complete text layers and one OCR sample. The readability comparison uses 50 passages. The rubric is a provisional 0–3 decision aid. The API is an open prototype. Comprehension effects have not yet been tested.</w:t>
      </w:r>
    </w:p>
    <w:p>
      <w:pPr>
        <w:spacing w:after="100"/>
      </w:pPr>
      <w:r>
        <w:rPr>
          <w:b/>
        </w:rPr>
        <w:t xml:space="preserve">Evidence and caution. </w:t>
      </w:r>
      <w:r>
        <w:t>The next steps include confirmed ethics and translation procedures, complete OCR and edition checks, independent passage sampling, double coding and inter-rater agreement, parser adjudication and codebook versioning, and comprehension comparisons between original and revised passages.</w:t>
      </w:r>
    </w:p>
    <w:p>
      <w:pPr>
        <w:spacing w:after="100"/>
      </w:pPr>
      <w:r>
        <w:rPr>
          <w:b/>
        </w:rPr>
        <w:t xml:space="preserve">Detail retained from the longer deck. </w:t>
      </w:r>
      <w:r>
        <w:t>The presentation demonstrates a research and selection procedure; it does not report completed empirical findings.</w:t>
      </w:r>
    </w:p>
    <w:p>
      <w:pPr>
        <w:spacing w:after="100"/>
      </w:pPr>
      <w:r>
        <w:rPr>
          <w:b/>
        </w:rPr>
        <w:t xml:space="preserve">Transition. </w:t>
      </w:r>
      <w:r>
        <w:rPr>
          <w:i/>
        </w:rPr>
        <w:t>The final slide lists the main sources and can remain visible during questions.</w:t>
      </w:r>
    </w:p>
    <w:p>
      <w:pPr>
        <w:spacing w:before="40" w:after="160"/>
      </w:pPr>
      <w:r>
        <w:rPr>
          <w:b/>
          <w:color w:val="D58C00"/>
          <w:sz w:val="19"/>
        </w:rPr>
        <w:t>ADVANCE TO SLIDE 30  Selected references</w:t>
      </w:r>
    </w:p>
    <w:p/>
    <w:p>
      <w:pPr>
        <w:pStyle w:val="Heading2"/>
        <w:keepNext/>
      </w:pPr>
      <w:r>
        <w:t>Slide 30  Selected references</w:t>
      </w:r>
    </w:p>
    <w:p>
      <w:pPr>
        <w:spacing w:after="100"/>
      </w:pPr>
      <w:r>
        <w:rPr>
          <w:b/>
        </w:rPr>
        <w:t xml:space="preserve">Purpose. </w:t>
      </w:r>
      <w:r>
        <w:t>Provide traceability and close the deck cleanly.</w:t>
      </w:r>
    </w:p>
    <w:p>
      <w:pPr>
        <w:spacing w:after="100"/>
      </w:pPr>
      <w:r>
        <w:rPr>
          <w:b/>
        </w:rPr>
        <w:t xml:space="preserve">Suggested wording. </w:t>
      </w:r>
      <w:r>
        <w:t>The most important sources for the spoken argument are Mauranen, Hynninen, and Ranta for academic ELF; Björkman and Seidlhofer for communicative function and accommodation; Jenkins and Mauranen for EMI coursebook difficulty; McKinley for discipline-specific academic literacy; the CEFR Companion Volume for pragmatic competence; and Biber et al. and Quirk et al. for grammatical form inventories.</w:t>
      </w:r>
    </w:p>
    <w:p>
      <w:pPr>
        <w:spacing w:after="100"/>
      </w:pPr>
      <w:r>
        <w:rPr>
          <w:b/>
        </w:rPr>
        <w:t xml:space="preserve">Evidence and caution. </w:t>
      </w:r>
      <w:r>
        <w:t>Verify full bibliographic details, DOI information, textbook editions, and page locators in the conference paper and handout. The ICLHE logo and palette come from the official association website, https://www.iclhe.org/.</w:t>
      </w:r>
    </w:p>
    <w:p>
      <w:pPr>
        <w:spacing w:after="100"/>
      </w:pPr>
      <w:r>
        <w:rPr>
          <w:b/>
        </w:rPr>
        <w:t xml:space="preserve">Transition. </w:t>
      </w:r>
      <w:r>
        <w:rPr>
          <w:i/>
        </w:rPr>
        <w:t>Thank the audience and invite questions about the framework, its denominators, and editorial feasibility.</w:t>
      </w:r>
    </w:p>
    <w:p>
      <w:pPr>
        <w:spacing w:before="40" w:after="160"/>
      </w:pPr>
      <w:r>
        <w:rPr>
          <w:b/>
          <w:color w:val="D58C00"/>
          <w:sz w:val="19"/>
        </w:rPr>
        <w:t>END OF DECK  Leave the references visible for questions or return to Slide 28 for the concluding framework.</w:t>
      </w:r>
    </w:p>
    <w:p/>
    <w:p>
      <w:pPr>
        <w:pStyle w:val="Heading1"/>
      </w:pPr>
      <w:r>
        <w:t>Core references for oral attribution</w:t>
      </w:r>
    </w:p>
    <w:p>
      <w:pPr>
        <w:pStyle w:val="ListBullet"/>
      </w:pPr>
      <w:r>
        <w:t>Björkman, B. (2013). English as an Academic Lingua Franca.</w:t>
      </w:r>
    </w:p>
    <w:p>
      <w:pPr>
        <w:pStyle w:val="ListBullet"/>
      </w:pPr>
      <w:r>
        <w:t>Council of Europe. (2020). Common European Framework of Reference for Languages Companion Volume.</w:t>
      </w:r>
    </w:p>
    <w:p>
      <w:pPr>
        <w:pStyle w:val="ListBullet"/>
      </w:pPr>
      <w:r>
        <w:t>Jenkins, J., and Mauranen, A. (Eds.). (2019). Linguistic Diversity on the EMI Campus.</w:t>
      </w:r>
    </w:p>
    <w:p>
      <w:pPr>
        <w:pStyle w:val="ListBullet"/>
      </w:pPr>
      <w:r>
        <w:t>Mauranen, A., Hynninen, N., and Ranta, E. (2016). English as the academic lingua franca.</w:t>
      </w:r>
    </w:p>
    <w:p>
      <w:pPr>
        <w:pStyle w:val="ListBullet"/>
      </w:pPr>
      <w:r>
        <w:t>McKinley, J. (2025). Beyond Proficiency: Rethinking Preparedness in English-Medium Instruction. TESOL Journal, e70080.</w:t>
      </w:r>
    </w:p>
    <w:p>
      <w:pPr>
        <w:pStyle w:val="ListBullet"/>
      </w:pPr>
      <w:r>
        <w:t>Seidlhofer, B. (2011). Understanding English as a Lingua Franca.</w:t>
      </w:r>
    </w:p>
    <w:p>
      <w:pPr>
        <w:pStyle w:val="ListBullet"/>
      </w:pPr>
      <w:r>
        <w:t>ICLHE Association. Official website and visual identity. https://www.iclhe.org/</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26777"/>
        <w:sz w:val="16"/>
      </w:rPr>
      <w:t>MIWAE Presenter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Pragmatic Considerations MIWAE Presenter Notes</dc:title>
  <dc:subject>Presenter notes for the MIWAE conference presentation</dc:subject>
  <dc:creator>Mehmet Altay and Dogan Yuksel</dc:creator>
  <cp:keywords/>
  <dc:description/>
  <cp:lastModifiedBy>Mehmet Altay and Dogan Yuksel</cp:lastModifiedBy>
  <cp:revision>1</cp:revision>
  <dcterms:created xsi:type="dcterms:W3CDTF">2013-12-23T23:15:00Z</dcterms:created>
  <dcterms:modified xsi:type="dcterms:W3CDTF">2013-12-23T23:15:00Z</dcterms:modified>
  <cp:category/>
</cp:coreProperties>
</file>