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English-Medium Instruction and Oral–Aural Attrition:</w:t>
        <w:br/>
        <w:t>Methodology and Quantitative Results</w:t>
      </w:r>
    </w:p>
    <w:p>
      <w:pPr>
        <w:jc w:val="center"/>
      </w:pPr>
      <w:r>
        <w:rPr>
          <w:rFonts w:ascii="Times New Roman" w:hAnsi="Times New Roman"/>
          <w:b w:val="0"/>
          <w:i/>
          <w:color w:val="555555"/>
          <w:sz w:val="20"/>
        </w:rPr>
        <w:t>Explanatory sequential mixed methods (QUANT → QUAL) · Synthetic N = 120 · Quantitative strand = RQ1 (paired Pre/Post) only</w:t>
      </w:r>
    </w:p>
    <w:p>
      <w:pPr>
        <w:spacing w:after="160" w:line="360" w:lineRule="auto"/>
      </w:pPr>
      <w:r>
        <w:rPr>
          <w:rFonts w:ascii="Times New Roman" w:hAnsi="Times New Roman"/>
          <w:b w:val="0"/>
          <w:i/>
          <w:sz w:val="20"/>
        </w:rPr>
        <w:t>Author note. Quantitative values are from a calibrated synthetic completer panel for method scaffolding and presentation format (Nicol &amp; Pexman). They are not findings from real students. Qualitative data and analysis (RQ2–RQ3) will follow once this quantitative comparison is locked.</w:t>
      </w:r>
    </w:p>
    <w:p>
      <w:pPr>
        <w:pStyle w:val="Heading1"/>
      </w:pPr>
      <w:r>
        <w:rPr>
          <w:rFonts w:ascii="Times New Roman" w:hAnsi="Times New Roman"/>
          <w:b/>
          <w:i w:val="0"/>
          <w:color w:val="1F4E79"/>
          <w:sz w:val="28"/>
        </w:rPr>
        <w:t>Research questions</w:t>
      </w:r>
    </w:p>
    <w:p>
      <w:pPr>
        <w:spacing w:after="160" w:line="360" w:lineRule="auto"/>
      </w:pPr>
      <w:r>
        <w:rPr>
          <w:rFonts w:ascii="Times New Roman" w:hAnsi="Times New Roman"/>
          <w:b w:val="0"/>
          <w:i w:val="0"/>
          <w:sz w:val="22"/>
        </w:rPr>
        <w:t>RQ1 (Quantitative). To what extent do students’ institutional English proficiency scores change from PYP exit to graduation after four years of engineering EMI, across Listening, Reading, Writing, Speaking, and Overall?</w:t>
      </w:r>
    </w:p>
    <w:p>
      <w:pPr>
        <w:spacing w:after="160" w:line="360" w:lineRule="auto"/>
      </w:pPr>
      <w:r>
        <w:rPr>
          <w:rFonts w:ascii="Times New Roman" w:hAnsi="Times New Roman"/>
          <w:b w:val="0"/>
          <w:i w:val="0"/>
          <w:sz w:val="22"/>
        </w:rPr>
        <w:t>RQ2 (Qualitative — students). To what do students attribute their oral–aural attrition? Semi-structured follow-up, not a separate question: Why do you think lecturers use Turkish so often? Prepared in advance from the researcher’s observation over several years, and asked after the open answer.</w:t>
      </w:r>
    </w:p>
    <w:p>
      <w:pPr>
        <w:spacing w:after="160" w:line="360" w:lineRule="auto"/>
      </w:pPr>
      <w:r>
        <w:rPr>
          <w:rFonts w:ascii="Times New Roman" w:hAnsi="Times New Roman"/>
          <w:b w:val="0"/>
          <w:i w:val="0"/>
          <w:sz w:val="22"/>
        </w:rPr>
        <w:t>RQ3 (Qualitative — lecturers). When lecturers use L1, what do they say underlies that use?</w:t>
      </w:r>
    </w:p>
    <w:p>
      <w:pPr>
        <w:pStyle w:val="Heading1"/>
      </w:pPr>
      <w:r>
        <w:rPr>
          <w:rFonts w:ascii="Times New Roman" w:hAnsi="Times New Roman"/>
          <w:b/>
          <w:i w:val="0"/>
          <w:color w:val="1F4E79"/>
          <w:sz w:val="28"/>
        </w:rPr>
        <w:t>Methodology</w:t>
      </w:r>
    </w:p>
    <w:p>
      <w:pPr>
        <w:pStyle w:val="Heading2"/>
      </w:pPr>
      <w:r>
        <w:rPr>
          <w:rFonts w:ascii="Times New Roman" w:hAnsi="Times New Roman"/>
          <w:b/>
          <w:i w:val="0"/>
          <w:color w:val="1F4E79"/>
          <w:sz w:val="24"/>
        </w:rPr>
        <w:t>Research design</w:t>
      </w:r>
    </w:p>
    <w:p>
      <w:pPr>
        <w:spacing w:after="160" w:line="360" w:lineRule="auto"/>
        <w:ind w:firstLine="432"/>
      </w:pPr>
      <w:r>
        <w:rPr>
          <w:rFonts w:ascii="Times New Roman" w:hAnsi="Times New Roman"/>
          <w:b w:val="0"/>
          <w:i w:val="0"/>
          <w:sz w:val="22"/>
        </w:rPr>
        <w:t>The study adopts an explanatory sequential mixed-methods design (Creswell &amp; Plano Clark, 2018). Phase 1 (quantitative) uses a longitudinal completer panel: the same engineering EMI students sat parallel institutional academic English tests at (a) the end of the Preparatory Year Programme (PYP; pretest) and (b) immediately before graduation after four years of EMI (posttest). This supports paired (dependent-samples) comparison of proficiency change by skill (Field, 2013; Nicol &amp; Pexman, 2010a). Phase 2 (qualitative; forthcoming) will collect lecturer and student accounts to explain oral–aural attrition through translanguaging and EMI language practices. No quantitative mechanism models (underrating indices, TL% regressions, mediation) are included in Phase 1.</w:t>
      </w:r>
    </w:p>
    <w:p>
      <w:pPr>
        <w:pStyle w:val="Heading2"/>
      </w:pPr>
      <w:r>
        <w:rPr>
          <w:rFonts w:ascii="Times New Roman" w:hAnsi="Times New Roman"/>
          <w:b/>
          <w:i w:val="0"/>
          <w:color w:val="1F4E79"/>
          <w:sz w:val="24"/>
        </w:rPr>
        <w:t>Setting and participants</w:t>
      </w:r>
    </w:p>
    <w:p>
      <w:pPr>
        <w:spacing w:after="160" w:line="360" w:lineRule="auto"/>
        <w:ind w:firstLine="432"/>
      </w:pPr>
      <w:r>
        <w:rPr>
          <w:rFonts w:ascii="Times New Roman" w:hAnsi="Times New Roman"/>
          <w:b w:val="0"/>
          <w:i w:val="0"/>
          <w:sz w:val="22"/>
        </w:rPr>
        <w:t>The setting is a Turkish public-university engineering faculty in which students complete an English PYP before EMI content courses. Progression requires a minimum overall score of 60/100 (≈ CEFR B1). The analytic sample comprised 120 EMI engineering completers with both pretest and posttest scores (synthetic panel for scaffolding; 82 male, 38 female). Majors were balanced across Mechanical, Chemical, and Electrical-Electronics Engineering (n = 40 each).</w:t>
      </w:r>
    </w:p>
    <w:p>
      <w:pPr>
        <w:pStyle w:val="Heading2"/>
      </w:pPr>
      <w:r>
        <w:rPr>
          <w:rFonts w:ascii="Times New Roman" w:hAnsi="Times New Roman"/>
          <w:b/>
          <w:i w:val="0"/>
          <w:color w:val="1F4E79"/>
          <w:sz w:val="24"/>
        </w:rPr>
        <w:t>Instrument and procedure</w:t>
      </w:r>
    </w:p>
    <w:p>
      <w:pPr>
        <w:spacing w:after="160" w:line="360" w:lineRule="auto"/>
        <w:ind w:firstLine="432"/>
      </w:pPr>
      <w:r>
        <w:rPr>
          <w:rFonts w:ascii="Times New Roman" w:hAnsi="Times New Roman"/>
          <w:b w:val="0"/>
          <w:i w:val="0"/>
          <w:sz w:val="22"/>
        </w:rPr>
        <w:t>The institutional academic English test covered Listening, Reading, Writing, and Speaking on a 0–100 scale; Overall was the unweighted mean of the four skill scores. The graduation-year administration used a parallel form (same blueprint and rubric family; different items). Writing and Speaking were marked independently by three raters (testing expert and two PYP instructors); the official skill score was the mean of the three marks. Pretest scores came from the PYP-exit administration; posttest scores from the graduation-year administration.</w:t>
      </w:r>
    </w:p>
    <w:p>
      <w:pPr>
        <w:pStyle w:val="Heading2"/>
      </w:pPr>
      <w:r>
        <w:rPr>
          <w:rFonts w:ascii="Times New Roman" w:hAnsi="Times New Roman"/>
          <w:b/>
          <w:i w:val="0"/>
          <w:color w:val="1F4E79"/>
          <w:sz w:val="24"/>
        </w:rPr>
        <w:t>Quantitative data analysis</w:t>
      </w:r>
    </w:p>
    <w:p>
      <w:pPr>
        <w:spacing w:after="160" w:line="360" w:lineRule="auto"/>
        <w:ind w:firstLine="432"/>
      </w:pPr>
      <w:r>
        <w:rPr>
          <w:rFonts w:ascii="Times New Roman" w:hAnsi="Times New Roman"/>
          <w:b w:val="0"/>
          <w:i w:val="0"/>
          <w:sz w:val="22"/>
        </w:rPr>
        <w:t>Analyses addressed RQ1 only. Because the question concerns skill-specific Pre–Post change, paired-samples t tests (with Wilcoxon signed-rank companions) were run for Listening, Reading, Writing, Speaking, and Overall, reporting Cohen’s d_z and 95% confidence intervals for mean differences (Nicol &amp; Pexman, 2010a, t-test Play-It-Safe format). Shapiro–Wilk tests inspected difference-score distributions. MANOVA and repeated-measures ANOVA were not adopted as lead analyses: a multivariate omnibus would still require univariate follow-ups and would expand the results section without clarifying which skills declined. For publishing economy, presentation is limited to two tables and one grouped Pre–Post bar figure with 95% CIs (Nicol &amp; Pexman, 2010b). Explanatory accounts of attrition are reserved for the qualitative strand.</w:t>
      </w:r>
    </w:p>
    <w:p>
      <w:pPr>
        <w:pStyle w:val="Heading2"/>
      </w:pPr>
      <w:r>
        <w:rPr>
          <w:rFonts w:ascii="Times New Roman" w:hAnsi="Times New Roman"/>
          <w:b/>
          <w:i w:val="0"/>
          <w:color w:val="1F4E79"/>
          <w:sz w:val="24"/>
        </w:rPr>
        <w:t>Qualitative strand (forthcoming)</w:t>
      </w:r>
    </w:p>
    <w:p>
      <w:pPr>
        <w:spacing w:after="160" w:line="360" w:lineRule="auto"/>
        <w:ind w:firstLine="432"/>
      </w:pPr>
      <w:r>
        <w:rPr>
          <w:rFonts w:ascii="Times New Roman" w:hAnsi="Times New Roman"/>
          <w:b w:val="0"/>
          <w:i w:val="0"/>
          <w:sz w:val="22"/>
        </w:rPr>
        <w:t>Phase 2 uses semi-structured interviews. Student interviews open with what oral–aural attrition is attributed to (RQ2), so other accounts, including reliance on written technical discourse, can surface without a prompt. Each student is then asked a prepared follow-up: why they think lecturers use Turkish so often. That question is not a second research question. It was written in advance because the researcher had observed frequent lecturer use of Turkish in these EMI classrooms over several years and expected it to be offered as an account of attrition. If the student has already mentioned Turkish, the follow-up probes that remark. If not, it is still asked and reported as a planned question.</w:t>
      </w:r>
    </w:p>
    <w:p>
      <w:pPr>
        <w:spacing w:after="160" w:line="360" w:lineRule="auto"/>
        <w:ind w:firstLine="432"/>
      </w:pPr>
      <w:r>
        <w:rPr>
          <w:rFonts w:ascii="Times New Roman" w:hAnsi="Times New Roman"/>
          <w:b w:val="0"/>
          <w:i w:val="0"/>
          <w:sz w:val="22"/>
        </w:rPr>
        <w:t>The follow-up was prepared for two anticipated accounts. The first is lecturers’ limited English for sustained EMI teaching. The second is lecturers’ underrating of students’ English. Protecting subject content because Turkish is the shared first language is part of that second account, not a third theme. Lecturer interviews (RQ3) ask what underlies their own use of L1. From the same extended observation, lecturers are expected to cite only students’ low proficiency, not their own English. That answer is interpreted as a Golem effect. They are not expected to reflect on their own spoken English. When their proficiency is raised, the expected account is that they have already validated it by a proficiency test required for English-medium teaching. In this setting that credential is typically a national multiple-choice examination such as YDS or YÖKDİL: reading-based items on grammar, vocabulary, and the meaning of texts, with no Listening or Speaking component (ÖSYM). The test therefore does not evidence the oral–aural proficiency EMI teaching requires. Thematic analysis will proceed after these quantitative results are fixed.</w:t>
      </w:r>
    </w:p>
    <w:p>
      <w:pPr>
        <w:pStyle w:val="Heading1"/>
      </w:pPr>
      <w:r>
        <w:rPr>
          <w:rFonts w:ascii="Times New Roman" w:hAnsi="Times New Roman"/>
          <w:b/>
          <w:i w:val="0"/>
          <w:color w:val="1F4E79"/>
          <w:sz w:val="28"/>
        </w:rPr>
        <w:t>Quantitative results (RQ1)</w:t>
      </w:r>
    </w:p>
    <w:p>
      <w:pPr>
        <w:pStyle w:val="Heading2"/>
      </w:pPr>
      <w:r>
        <w:rPr>
          <w:rFonts w:ascii="Times New Roman" w:hAnsi="Times New Roman"/>
          <w:b/>
          <w:i w:val="0"/>
          <w:color w:val="1F4E79"/>
          <w:sz w:val="24"/>
        </w:rPr>
        <w:t>Preliminary descriptives</w:t>
      </w:r>
    </w:p>
    <w:p>
      <w:pPr>
        <w:spacing w:after="160" w:line="360" w:lineRule="auto"/>
        <w:ind w:firstLine="432"/>
      </w:pPr>
      <w:r>
        <w:rPr>
          <w:rFonts w:ascii="Times New Roman" w:hAnsi="Times New Roman"/>
          <w:b w:val="0"/>
          <w:i w:val="0"/>
          <w:sz w:val="22"/>
        </w:rPr>
        <w:t>All 120 completers met the institutional overall threshold at pretest (Pre_Overall minimum = 60.1). Skill scores were not uniformly above 60. Table 1 reports Pre and Post means and standard deviations in a Play-It-Safe means format (Nicol &amp; Pexman, 2010a). At PYP exit, skill means sat in a narrow band above the pass mark, from Speaking (M = 65.72, SD = 5.60) to Reading (M = 67.82, SD = 4.86). By graduation that band had split. Speaking fell to M = 60.62 (SD = 6.33), just above the threshold, and Listening to M = 63.70 (SD = 6.12). Reading (M = 68.23, SD = 5.72) and Writing (M = 66.69, SD = 6.51) were essentially unchanged. Post standard deviations were slightly larger than Pre standard deviations for every skill. Overall declined from M = 66.79 (SD = 4.61) to M = 64.81 (SD = 4.89).</w:t>
      </w:r>
    </w:p>
    <w:p>
      <w:pPr>
        <w:spacing w:after="160" w:line="360" w:lineRule="auto"/>
        <w:ind w:firstLine="432"/>
      </w:pPr>
      <w:r>
        <w:rPr>
          <w:rFonts w:ascii="Times New Roman" w:hAnsi="Times New Roman"/>
          <w:b w:val="0"/>
          <w:i w:val="0"/>
          <w:sz w:val="22"/>
        </w:rPr>
        <w:t>The pass mark makes the practical size of that change clearer than the two-point overall mean. No student scored below 60 overall at pretest; 18 students (15.0%) did so at graduation. Below-threshold counts rose most for Speaking (20 of 120, 16.7%, to 56 of 120, 46.7%) and Listening (7 of 120, 5.8%, to 37 of 120, 30.8%). Reading (5 to 6) and Writing (10 to 16) changed little.</w:t>
      </w:r>
    </w:p>
    <w:p>
      <w:pPr>
        <w:spacing w:before="240" w:after="0"/>
      </w:pPr>
      <w:r>
        <w:rPr>
          <w:rFonts w:ascii="Times New Roman" w:hAnsi="Times New Roman"/>
          <w:b/>
          <w:i w:val="0"/>
          <w:sz w:val="22"/>
        </w:rPr>
        <w:t>Table 1</w:t>
      </w:r>
    </w:p>
    <w:p>
      <w:pPr>
        <w:spacing w:after="120"/>
      </w:pPr>
      <w:r>
        <w:rPr>
          <w:rFonts w:ascii="Times New Roman" w:hAnsi="Times New Roman"/>
          <w:b w:val="0"/>
          <w:i/>
          <w:sz w:val="22"/>
        </w:rPr>
        <w:t>Descriptive Statistics for Pre and Post Proficiency Scores (N = 120)</w:t>
      </w:r>
    </w:p>
    <w:p>
      <w:pPr>
        <w:spacing w:before="80"/>
      </w:pPr>
      <w:r>
        <w:rPr>
          <w:rFonts w:ascii="Times New Roman" w:hAnsi="Times New Roman"/>
          <w:b w:val="0"/>
          <w:i w:val="0"/>
          <w:sz w:val="18"/>
        </w:rPr>
        <w:t>Note. Scores are on the 0–100 institutional scale. PYP pass threshold = 60 (≈ CEFR B1).</w:t>
      </w:r>
    </w:p>
    <w:tbl>
      <w:tblPr>
        <w:tblW w:type="auto" w:w="0"/>
        <w:tblLook w:firstColumn="1" w:firstRow="1" w:lastColumn="0" w:lastRow="0" w:noHBand="0" w:noVBand="1" w:val="04A0"/>
      </w:tblPr>
      <w:tblGrid>
        <w:gridCol w:w="1728"/>
        <w:gridCol w:w="1728"/>
        <w:gridCol w:w="1728"/>
        <w:gridCol w:w="1728"/>
        <w:gridCol w:w="1728"/>
      </w:tblGrid>
      <w:tr>
        <w:tc>
          <w:tcPr>
            <w:tcW w:type="dxa" w:w="1728"/>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Skill</w:t>
            </w:r>
          </w:p>
        </w:tc>
        <w:tc>
          <w:tcPr>
            <w:tcW w:type="dxa" w:w="1728"/>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Pre M</w:t>
            </w:r>
          </w:p>
        </w:tc>
        <w:tc>
          <w:tcPr>
            <w:tcW w:type="dxa" w:w="1728"/>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Pre SD</w:t>
            </w:r>
          </w:p>
        </w:tc>
        <w:tc>
          <w:tcPr>
            <w:tcW w:type="dxa" w:w="1728"/>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Post M</w:t>
            </w:r>
          </w:p>
        </w:tc>
        <w:tc>
          <w:tcPr>
            <w:tcW w:type="dxa" w:w="1728"/>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Post SD</w:t>
            </w:r>
          </w:p>
        </w:tc>
      </w:tr>
      <w:tr>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Listening</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67.25</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5.24</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63.70</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6.12</w:t>
            </w:r>
          </w:p>
        </w:tc>
      </w:tr>
      <w:tr>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Reading</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67.82</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4.86</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68.23</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5.72</w:t>
            </w:r>
          </w:p>
        </w:tc>
      </w:tr>
      <w:tr>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Writing</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66.34</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5.22</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66.69</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6.51</w:t>
            </w:r>
          </w:p>
        </w:tc>
      </w:tr>
      <w:tr>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Speaking</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65.72</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5.60</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60.62</w:t>
            </w:r>
          </w:p>
        </w:tc>
        <w:tc>
          <w:tcPr>
            <w:tcW w:type="dxa" w:w="1728"/>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6.33</w:t>
            </w:r>
          </w:p>
        </w:tc>
      </w:tr>
      <w:tr>
        <w:tc>
          <w:tcPr>
            <w:tcW w:type="dxa" w:w="1728"/>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Overall</w:t>
            </w:r>
          </w:p>
        </w:tc>
        <w:tc>
          <w:tcPr>
            <w:tcW w:type="dxa" w:w="1728"/>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66.79</w:t>
            </w:r>
          </w:p>
        </w:tc>
        <w:tc>
          <w:tcPr>
            <w:tcW w:type="dxa" w:w="1728"/>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4.61</w:t>
            </w:r>
          </w:p>
        </w:tc>
        <w:tc>
          <w:tcPr>
            <w:tcW w:type="dxa" w:w="1728"/>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64.81</w:t>
            </w:r>
          </w:p>
        </w:tc>
        <w:tc>
          <w:tcPr>
            <w:tcW w:type="dxa" w:w="1728"/>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4.89</w:t>
            </w:r>
          </w:p>
        </w:tc>
      </w:tr>
    </w:tbl>
    <w:p>
      <w:pPr>
        <w:pStyle w:val="Heading2"/>
      </w:pPr>
      <w:r>
        <w:rPr>
          <w:rFonts w:ascii="Times New Roman" w:hAnsi="Times New Roman"/>
          <w:b/>
          <w:i w:val="0"/>
          <w:color w:val="1F4E79"/>
          <w:sz w:val="24"/>
        </w:rPr>
        <w:t>Difference-score checks</w:t>
      </w:r>
    </w:p>
    <w:p>
      <w:pPr>
        <w:spacing w:after="160" w:line="360" w:lineRule="auto"/>
        <w:ind w:firstLine="432"/>
      </w:pPr>
      <w:r>
        <w:rPr>
          <w:rFonts w:ascii="Times New Roman" w:hAnsi="Times New Roman"/>
          <w:b w:val="0"/>
          <w:i w:val="0"/>
          <w:sz w:val="22"/>
        </w:rPr>
        <w:t>Shapiro–Wilk tests on the Pre−Post difference scores did not indicate departure from normality: Listening W = .989, p = .41; Reading W = .987, p = .29; Writing W = .992, p = .75; Speaking W = .988, p = .35; Overall W = .986, p = .23. Paired-samples t tests were therefore appropriate. Wilcoxon signed-rank companions agreed with every significance decision in Table 2.</w:t>
      </w:r>
    </w:p>
    <w:p>
      <w:pPr>
        <w:pStyle w:val="Heading2"/>
      </w:pPr>
      <w:r>
        <w:rPr>
          <w:rFonts w:ascii="Times New Roman" w:hAnsi="Times New Roman"/>
          <w:b/>
          <w:i w:val="0"/>
          <w:color w:val="1F4E79"/>
          <w:sz w:val="24"/>
        </w:rPr>
        <w:t>Paired-samples comparisons</w:t>
      </w:r>
    </w:p>
    <w:p>
      <w:pPr>
        <w:spacing w:after="160" w:line="360" w:lineRule="auto"/>
        <w:ind w:firstLine="432"/>
      </w:pPr>
      <w:r>
        <w:rPr>
          <w:rFonts w:ascii="Times New Roman" w:hAnsi="Times New Roman"/>
          <w:b w:val="0"/>
          <w:i w:val="0"/>
          <w:sz w:val="22"/>
        </w:rPr>
        <w:t>Table 2 presents paired-samples t tests for Pre–Post change (Mdiff = Pre − Post; positive values indicate attrition), following Nicol and Pexman’s (2010a) Play-It-Safe multi-t-test layout. Effect sizes are Cohen’s d_z (about .20 small, .50 medium, and .80 large). Speaking showed a large decline (Mdiff = 5.10, SDdiff = 4.57, t(119) = 12.21, p &lt; .001, d_z = 1.11, 95% CI [4.27, 5.93]). The interval excludes zero: a loss of roughly four to six points is plausible for the population mean. Listening also declined, with a large effect (Mdiff = 3.55, SDdiff = 4.11, t(119) = 9.46, p &lt; .001, d_z = 0.86, 95% CI [2.81, 4.29]). The Speaking interval lies almost entirely above the Listening interval, so the point estimates order Speaking above Listening. A formal test of that difference was not run; repeated-measures ANOVA was not the lead analysis.</w:t>
      </w:r>
    </w:p>
    <w:p>
      <w:pPr>
        <w:spacing w:after="160" w:line="360" w:lineRule="auto"/>
        <w:ind w:firstLine="432"/>
      </w:pPr>
      <w:r>
        <w:rPr>
          <w:rFonts w:ascii="Times New Roman" w:hAnsi="Times New Roman"/>
          <w:b w:val="0"/>
          <w:i w:val="0"/>
          <w:sz w:val="22"/>
        </w:rPr>
        <w:t>Reading (Mdiff = -0.41, t(119) = -1.26, p = .21, d_z = -0.11, 95% CI [-1.04, 0.23]) and Writing (Mdiff = -0.35, t(119) = -0.93, p = .35, d_z = -0.09, 95% CI [-1.09, 0.39]) did not decline. Both intervals include zero, and both effects are negligible. The negative differences are small non-significant gains. Overall declined (Mdiff = 1.97, t(119) = 8.50, p &lt; .001, d_z = 0.78, 95% CI [1.51, 2.43]), a medium-to-large effect. Because Overall is the unweighted mean of the four skills, that drop is the net of the oral–aural losses and the stable written scores, not a uniform decline across the profile.</w:t>
      </w:r>
    </w:p>
    <w:p>
      <w:pPr>
        <w:spacing w:before="240" w:after="0"/>
      </w:pPr>
      <w:r>
        <w:rPr>
          <w:rFonts w:ascii="Times New Roman" w:hAnsi="Times New Roman"/>
          <w:b/>
          <w:i w:val="0"/>
          <w:sz w:val="22"/>
        </w:rPr>
        <w:t>Table 2</w:t>
      </w:r>
    </w:p>
    <w:p>
      <w:pPr>
        <w:spacing w:after="120"/>
      </w:pPr>
      <w:r>
        <w:rPr>
          <w:rFonts w:ascii="Times New Roman" w:hAnsi="Times New Roman"/>
          <w:b w:val="0"/>
          <w:i/>
          <w:sz w:val="22"/>
        </w:rPr>
        <w:t>Paired-Samples Tests of Pre–Post Change (N = 120)</w:t>
      </w:r>
    </w:p>
    <w:p>
      <w:pPr>
        <w:spacing w:before="80"/>
      </w:pPr>
      <w:r>
        <w:rPr>
          <w:rFonts w:ascii="Times New Roman" w:hAnsi="Times New Roman"/>
          <w:b w:val="0"/>
          <w:i w:val="0"/>
          <w:sz w:val="18"/>
        </w:rPr>
        <w:t>Note. Mdiff = Pre − Post (positive = attrition). d_z = Cohen’s d for paired designs. 95% CIs are for mean differences. Wilcoxon signed-rank p values were consistent with the paired t conclusions. *p &lt; .05. **p &lt; .01. ***p &lt; .001.</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Skill</w:t>
            </w:r>
          </w:p>
        </w:tc>
        <w:tc>
          <w:tcPr>
            <w:tcW w:type="dxa" w:w="1234"/>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Mdiff</w:t>
            </w:r>
          </w:p>
        </w:tc>
        <w:tc>
          <w:tcPr>
            <w:tcW w:type="dxa" w:w="1234"/>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SD</w:t>
            </w:r>
          </w:p>
        </w:tc>
        <w:tc>
          <w:tcPr>
            <w:tcW w:type="dxa" w:w="1234"/>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t(119)</w:t>
            </w:r>
          </w:p>
        </w:tc>
        <w:tc>
          <w:tcPr>
            <w:tcW w:type="dxa" w:w="1234"/>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p</w:t>
            </w:r>
          </w:p>
        </w:tc>
        <w:tc>
          <w:tcPr>
            <w:tcW w:type="dxa" w:w="1234"/>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d_z</w:t>
            </w:r>
          </w:p>
        </w:tc>
        <w:tc>
          <w:tcPr>
            <w:tcW w:type="dxa" w:w="1234"/>
            <w:tcBorders>
              <w:left w:val="nil" w:sz="8" w:space="0" w:color="000000"/>
              <w:right w:val="nil" w:sz="8" w:space="0" w:color="000000"/>
              <w:top w:val="single" w:sz="12" w:space="0" w:color="000000"/>
              <w:bottom w:val="single" w:sz="8" w:space="0" w:color="000000"/>
            </w:tcBorders>
          </w:tcPr>
          <w:p>
            <w:r>
              <w:rPr>
                <w:rFonts w:ascii="Times New Roman" w:hAnsi="Times New Roman"/>
                <w:b w:val="0"/>
                <w:i w:val="0"/>
                <w:sz w:val="20"/>
              </w:rPr>
              <w:t>95% CI</w:t>
            </w:r>
          </w:p>
        </w:tc>
      </w:tr>
      <w:tr>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Listening</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3.55</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4.11</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9.46</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&lt; .001***</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0.86</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[2.81, 4.29]</w:t>
            </w:r>
          </w:p>
        </w:tc>
      </w:tr>
      <w:tr>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Reading</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-0.41</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3.53</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-1.26</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 .21</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-0.11</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[-1.04, 0.23]</w:t>
            </w:r>
          </w:p>
        </w:tc>
      </w:tr>
      <w:tr>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Writing</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-0.35</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4.10</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-0.93</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 .35</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-0.09</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[-1.09, 0.39]</w:t>
            </w:r>
          </w:p>
        </w:tc>
      </w:tr>
      <w:tr>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Speaking</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5.10</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4.57</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12.21</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&lt; .001***</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1.11</w:t>
            </w:r>
          </w:p>
        </w:tc>
        <w:tc>
          <w:tcPr>
            <w:tcW w:type="dxa" w:w="1234"/>
            <w:tcBorders>
              <w:left w:val="nil" w:sz="8" w:space="0" w:color="000000"/>
              <w:right w:val="nil" w:sz="8" w:space="0" w:color="000000"/>
              <w:top w:val="nil" w:sz="8" w:space="0" w:color="000000"/>
              <w:bottom w:val="nil" w:sz="8" w:space="0" w:color="000000"/>
            </w:tcBorders>
          </w:tcPr>
          <w:p>
            <w:r>
              <w:rPr>
                <w:rFonts w:ascii="Times New Roman" w:hAnsi="Times New Roman"/>
                <w:b w:val="0"/>
                <w:i w:val="0"/>
                <w:sz w:val="20"/>
              </w:rPr>
              <w:t>[4.27, 5.93]</w:t>
            </w:r>
          </w:p>
        </w:tc>
      </w:tr>
      <w:tr>
        <w:tc>
          <w:tcPr>
            <w:tcW w:type="dxa" w:w="1234"/>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Overall</w:t>
            </w:r>
          </w:p>
        </w:tc>
        <w:tc>
          <w:tcPr>
            <w:tcW w:type="dxa" w:w="1234"/>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1.97</w:t>
            </w:r>
          </w:p>
        </w:tc>
        <w:tc>
          <w:tcPr>
            <w:tcW w:type="dxa" w:w="1234"/>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2.54</w:t>
            </w:r>
          </w:p>
        </w:tc>
        <w:tc>
          <w:tcPr>
            <w:tcW w:type="dxa" w:w="1234"/>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8.50</w:t>
            </w:r>
          </w:p>
        </w:tc>
        <w:tc>
          <w:tcPr>
            <w:tcW w:type="dxa" w:w="1234"/>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&lt; .001***</w:t>
            </w:r>
          </w:p>
        </w:tc>
        <w:tc>
          <w:tcPr>
            <w:tcW w:type="dxa" w:w="1234"/>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0.78</w:t>
            </w:r>
          </w:p>
        </w:tc>
        <w:tc>
          <w:tcPr>
            <w:tcW w:type="dxa" w:w="1234"/>
            <w:tcBorders>
              <w:left w:val="nil" w:sz="8" w:space="0" w:color="000000"/>
              <w:right w:val="nil" w:sz="8" w:space="0" w:color="000000"/>
              <w:top w:val="nil" w:sz="8" w:space="0" w:color="000000"/>
              <w:bottom w:val="single" w:sz="12" w:space="0" w:color="000000"/>
            </w:tcBorders>
          </w:tcPr>
          <w:p>
            <w:r>
              <w:rPr>
                <w:rFonts w:ascii="Times New Roman" w:hAnsi="Times New Roman"/>
                <w:b w:val="0"/>
                <w:i w:val="0"/>
                <w:sz w:val="20"/>
              </w:rPr>
              <w:t>[1.51, 2.43]</w:t>
            </w:r>
          </w:p>
        </w:tc>
      </w:tr>
    </w:tbl>
    <w:p>
      <w:pPr>
        <w:pStyle w:val="Heading2"/>
      </w:pPr>
      <w:r>
        <w:rPr>
          <w:rFonts w:ascii="Times New Roman" w:hAnsi="Times New Roman"/>
          <w:b/>
          <w:i w:val="0"/>
          <w:color w:val="1F4E79"/>
          <w:sz w:val="24"/>
        </w:rPr>
        <w:t>Summary for the mixed-methods sequence</w:t>
      </w:r>
    </w:p>
    <w:p>
      <w:pPr>
        <w:spacing w:after="160" w:line="360" w:lineRule="auto"/>
        <w:ind w:firstLine="432"/>
      </w:pPr>
      <w:r>
        <w:rPr>
          <w:rFonts w:ascii="Times New Roman" w:hAnsi="Times New Roman"/>
          <w:b w:val="0"/>
          <w:i w:val="0"/>
          <w:sz w:val="22"/>
        </w:rPr>
        <w:t>Figure 1 shows the same split: Pre means sit together, and Post means fall for Speaking and Listening while Reading and Writing hold. Speaking’s post mean rests on the pass mark, and nearly half the panel scored below 60 on Speaking at graduation. RQ1 is therefore answered at the skill level. Attrition is oral–aural, largest for Speaking and substantial for Listening; Reading and Writing do not decline. The pattern is compatible with heavier use of written EAP discourse than of spoken English during the degree, but Phase 1 does not test that explanation. Student interviews open with what oral–aural attrition is attributed to (RQ2), then a prepared follow-up on why lecturers use Turkish so often. Lecturer interviews (RQ3) ask what underlies their own L1 use. Lecturers are expected to cite only students’ low proficiency, and that answer is tied to the Golem effect.</w:t>
      </w:r>
    </w:p>
    <w:p>
      <w:pPr>
        <w:spacing w:before="240" w:after="0"/>
      </w:pPr>
      <w:r>
        <w:rPr>
          <w:rFonts w:ascii="Times New Roman" w:hAnsi="Times New Roman"/>
          <w:b/>
          <w:i w:val="0"/>
          <w:sz w:val="22"/>
        </w:rPr>
        <w:t>Figure 1</w:t>
      </w:r>
    </w:p>
    <w:p>
      <w:pPr>
        <w:spacing w:after="120"/>
      </w:pPr>
      <w:r>
        <w:rPr>
          <w:rFonts w:ascii="Times New Roman" w:hAnsi="Times New Roman"/>
          <w:b w:val="0"/>
          <w:i/>
          <w:sz w:val="22"/>
        </w:rPr>
        <w:t>Mean Pre (PYP exit) and Post (graduation) scores by skill with 95% confidence intervals of the mean (0–100 scale). Labels above the bars are Post minus Pre (negative = attrition). Speaking shows the largest decline, then Listening; Reading and Writing do not decline. PYP pass threshold = 60.</w:t>
      </w:r>
    </w:p>
    <w:p>
      <w:pPr>
        <w:spacing w:before="80"/>
      </w:pPr>
      <w:r>
        <w:rPr>
          <w:rFonts w:ascii="Times New Roman" w:hAnsi="Times New Roman"/>
          <w:b w:val="0"/>
          <w:i w:val="0"/>
          <w:sz w:val="18"/>
        </w:rPr>
        <w:t>Note. Grouped bar graph (Nicol &amp; Pexman, 2010b). Error bars = 95% CIs of the mean. Only figure retained for publishing economy.</w:t>
      </w:r>
    </w:p>
    <w:p>
      <w:pPr>
        <w:jc w:val="center"/>
      </w:pPr>
      <w:r>
        <w:drawing>
          <wp:inline xmlns:a="http://schemas.openxmlformats.org/drawingml/2006/main" xmlns:pic="http://schemas.openxmlformats.org/drawingml/2006/picture">
            <wp:extent cx="5394960" cy="3236976"/>
            <wp:docPr id="1" name="Picture 1"/>
            <wp:cNvGraphicFramePr>
              <a:graphicFrameLocks noChangeAspect="1"/>
            </wp:cNvGraphicFramePr>
            <a:graphic>
              <a:graphicData uri="http://schemas.openxmlformats.org/drawingml/2006/picture">
                <pic:pic>
                  <pic:nvPicPr>
                    <pic:cNvPr id="0" name="fig1_skill_prepost_ggplot.png"/>
                    <pic:cNvPicPr/>
                  </pic:nvPicPr>
                  <pic:blipFill>
                    <a:blip r:embed="rId9"/>
                    <a:stretch>
                      <a:fillRect/>
                    </a:stretch>
                  </pic:blipFill>
                  <pic:spPr>
                    <a:xfrm>
                      <a:off x="0" y="0"/>
                      <a:ext cx="5394960" cy="3236976"/>
                    </a:xfrm>
                    <a:prstGeom prst="rect"/>
                  </pic:spPr>
                </pic:pic>
              </a:graphicData>
            </a:graphic>
          </wp:inline>
        </w:drawing>
      </w:r>
    </w:p>
    <w:p>
      <w:pPr>
        <w:pStyle w:val="Heading1"/>
      </w:pPr>
      <w:r>
        <w:rPr>
          <w:rFonts w:ascii="Times New Roman" w:hAnsi="Times New Roman"/>
          <w:b/>
          <w:i w:val="0"/>
          <w:color w:val="1F4E79"/>
          <w:sz w:val="28"/>
        </w:rPr>
        <w:t>References (selected)</w:t>
      </w:r>
    </w:p>
    <w:p>
      <w:pPr>
        <w:spacing w:after="160" w:line="360" w:lineRule="auto"/>
      </w:pPr>
      <w:r>
        <w:rPr>
          <w:rFonts w:ascii="Times New Roman" w:hAnsi="Times New Roman"/>
          <w:b w:val="0"/>
          <w:i w:val="0"/>
          <w:sz w:val="20"/>
        </w:rPr>
        <w:t>Creswell, J. W., &amp; Plano Clark, V. L. (2018). Designing and conducting mixed methods research (3rd ed.). SAGE.</w:t>
      </w:r>
    </w:p>
    <w:p>
      <w:pPr>
        <w:spacing w:after="160" w:line="360" w:lineRule="auto"/>
      </w:pPr>
      <w:r>
        <w:rPr>
          <w:rFonts w:ascii="Times New Roman" w:hAnsi="Times New Roman"/>
          <w:b w:val="0"/>
          <w:i w:val="0"/>
          <w:sz w:val="20"/>
        </w:rPr>
        <w:t>Field, A. (2013). Discovering statistics using IBM SPSS Statistics (4th ed.). SAGE.</w:t>
      </w:r>
    </w:p>
    <w:p>
      <w:pPr>
        <w:spacing w:after="160" w:line="360" w:lineRule="auto"/>
      </w:pPr>
      <w:r>
        <w:rPr>
          <w:rFonts w:ascii="Times New Roman" w:hAnsi="Times New Roman"/>
          <w:b w:val="0"/>
          <w:i w:val="0"/>
          <w:sz w:val="20"/>
        </w:rPr>
        <w:t>Nicol, A. A. M., &amp; Pexman, P. M. (2010a). Presenting your findings: A practical guide for creating tables (6th ed.). APA.</w:t>
      </w:r>
    </w:p>
    <w:p>
      <w:pPr>
        <w:spacing w:after="160" w:line="360" w:lineRule="auto"/>
      </w:pPr>
      <w:r>
        <w:rPr>
          <w:rFonts w:ascii="Times New Roman" w:hAnsi="Times New Roman"/>
          <w:b w:val="0"/>
          <w:i w:val="0"/>
          <w:sz w:val="20"/>
        </w:rPr>
        <w:t>Nicol, A. A. M., &amp; Pexman, P. M. (2010b). Displaying your findings: A practical guide for creating figures, posters, and presentations (6th ed.). APA.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