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English-Medium Instruction and Oral–Aural Attrition:</w:t>
        <w:br/>
        <w:t>Methodology and Quantitative Results</w:t>
      </w:r>
    </w:p>
    <w:p>
      <w:pPr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Explanatory sequential mixed methods (QUANT → QUAL) · Synthetic N = 120 · Quantitative strand = RQ1 (paired Pre/Post) only</w:t>
      </w:r>
    </w:p>
    <w:p>
      <w:pPr>
        <w:spacing w:after="160" w:line="360" w:lineRule="auto"/>
      </w:pPr>
      <w:r>
        <w:rPr>
          <w:rFonts w:ascii="Times New Roman" w:hAnsi="Times New Roman"/>
          <w:b w:val="0"/>
          <w:i/>
          <w:sz w:val="20"/>
        </w:rPr>
        <w:t>Author note. Quantitative values are from a calibrated synthetic completer panel for method scaffolding and presentation format (Nicol &amp; Pexman). They are not findings from real students. Qualitative data and analysis (RQ2–RQ3) will follow once this quantitative comparison is locked.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Research questions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RQ1 (Quantitative). To what extent do students’ institutional English proficiency scores change from PYP exit to graduation after four years of engineering EMI, across Listening, Reading, Writing, Speaking, and Overall?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RQ2 (Qualitative — lecturers). How do content lecturers describe whether and why they use translanguaging in EMI courses?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RQ3 (Qualitative — students). How do students experience EMI classroom language practices, and how do they relate those practices to changes in their English proficiency—especially Listening and Speaking?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Methodology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Research design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study adopts an explanatory sequential mixed-methods design (Creswell &amp; Plano Clark, 2018). Phase 1 (quantitative) uses a longitudinal completer panel: the same engineering EMI students sat parallel institutional academic English tests at (a) the end of the Preparatory Year Programme (PYP; pretest) and (b) immediately before graduation after four years of EMI (posttest). This supports paired (dependent-samples) comparison of proficiency change by skill (Field, 2013; Nicol &amp; Pexman, 2010a). Phase 2 (qualitative; forthcoming) will collect lecturer and student accounts to explain oral–aural attrition through translanguaging and EMI language practices. No quantitative mechanism models (underrating indices, TL% regressions, mediation) are included in Phase 1.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Setting and participants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setting is a Turkish public-university engineering faculty in which students complete an English PYP before EMI content courses. Progression requires a minimum overall score of 60/100 (≈ CEFR B1). The analytic sample comprised 120 EMI engineering completers with both pretest and posttest scores (synthetic panel for scaffolding; 82 male, 38 female). Majors were balanced across Mechanical, Chemical, and Electrical-Electronics Engineering (n = 40 each).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Instrument and procedure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institutional academic English test covered Listening, Reading, Writing, and Speaking on a 0–100 scale; Overall was the unweighted mean of the four skill scores. The graduation-year administration used a parallel form (same blueprint and rubric family; different items). Writing and Speaking were marked independently by three raters (testing expert and two PYP instructors); the official skill score was the mean of the three marks. Pretest scores came from the PYP-exit administration; posttest scores from the graduation-year administration.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Quantitative data analysis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Analyses addressed RQ1 only: paired-samples t tests and Wilcoxon signed-rank companions for each skill and Overall, with Cohen’s d_z and 95% confidence intervals for mean differences (Nicol &amp; Pexman, 2010a). Shapiro–Wilk tests inspected difference-score distributions. Results are reported in Play-It-Safe tables and one Pre–Post figure (Nicol &amp; Pexman, 2010b). Explanatory accounts of attrition are reserved for the qualitative strand.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Qualitative strand (forthcoming)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RQ2–RQ3 will draw on lecturer and student interviews. Anticipated lecturer themes include translanguaging as compensation for perceived student English limitations to secure content learning. Anticipated student themes include materials/lecturer English beyond their level and/or lecturers’ limited EMI proficiency; reduced English verbal interaction; and a felt decline in Listening and Speaking. Thematic analysis will proceed after these quantitative results are fixed.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Quantitative results (RQ1)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All 120 completers scored at or above the institutional threshold at pretest (Pre_Overall minimum = 60.1). At graduation, 18 students (15.0%) scored below 60 overall. Table 1 reports Pre/Post descriptives; Table 2 reports paired tests; Figure 1 displays Pre vs Post means.</w:t>
      </w:r>
    </w:p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Table 1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Descriptive Statistics for Pre and Post Proficiency Scores (N = 120)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Scores are on the 0–100 institutional scale. PYP pass threshold = 60 (≈ CEFR B1).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Pre M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Pre SD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Post M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Post SD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Listening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67.25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5.24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63.70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6.12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Reading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67.82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4.86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68.23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5.72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Writing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66.34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5.22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66.69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6.51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Speaking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5.60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60.62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6.33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Overall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66.79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4.61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64.81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4.89</w:t>
            </w:r>
          </w:p>
        </w:tc>
      </w:tr>
    </w:tbl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Table 2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Paired-Samples Tests of Pre–Post Change (N = 120)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Mdiff = Pre − Post (positive = attrition). d_z = Cohen’s d for paired designs. 95% CIs are for mean differences. *p &lt; .05. **p &lt; .01. ***p &lt; .001.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Mdiff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SD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t(119)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d_z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95% CI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Listening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3.55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9.46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[2.81, 4.29]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Reading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-0.41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-1.26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= .21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[-1.04, 0.23]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Writing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-0.35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4.10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-0.93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= .35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-0.09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[-1.09, 0.39]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Speaking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5.10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4.57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12.21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[4.27, 5.93]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Overall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1.97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8.50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0.78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[1.51, 2.43]</w:t>
            </w:r>
          </w:p>
        </w:tc>
      </w:tr>
    </w:tbl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Listening declined significantly (Mdiff = 3.55, t(119) = 9.46, p &lt; .001, d_z = 0.86). Speaking declined significantly and most strongly (Mdiff = 5.10, t(119) = 12.21, p &lt; .001, d_z = 1.11). Reading (Mdiff = -0.41, p = .21) and Writing (Mdiff = -0.35, p = .35) did not decline significantly; both showed small non-significant gains. These oral–aural losses motivate the qualitative phase (RQ2–RQ3).</w:t>
      </w:r>
    </w:p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Figure 1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Mean Pre (PYP exit) and Post (graduation) scores by skill with 95% confidence intervals of the mean (0–100 scale). Listening and Speaking decline; Reading and Writing do not. PYP pass threshold = 60.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Grouped bars (ggplot2 / RStudio). Error bars = 95% CIs of the mean (Nicol &amp; Pexman, 2010b).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kill_prepost_gg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References (selected)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Creswell, J. W., &amp; Plano Clark, V. L. (2018). Designing and conducting mixed methods research (3rd ed.). SAGE.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Field, A. (2013). Discovering statistics using IBM SPSS Statistics (4th ed.). SAGE.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Nicol, A. A. M., &amp; Pexman, P. M. (2010a). Presenting your findings: A practical guide for creating tables (6th ed.). APA.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Nicol, A. A. M., &amp; Pexman, P. M. (2010b). Displaying your findings: A practical guide for creating figures, posters, and presentations (6th ed.). APA.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