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English-Medium Instruction and Oral–Aural Attrition:</w:t>
        <w:br/>
        <w:t>Methodology and Quantitative Results</w:t>
      </w:r>
    </w:p>
    <w:p>
      <w:pPr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Explanatory sequential mixed methods (QUANT → QUAL) · Synthetic N = 120 · Quantitative strand = RQ1 (paired Pre/Post) only</w:t>
      </w:r>
    </w:p>
    <w:p>
      <w:pPr>
        <w:spacing w:after="160" w:line="360" w:lineRule="auto"/>
      </w:pPr>
      <w:r>
        <w:rPr>
          <w:rFonts w:ascii="Times New Roman" w:hAnsi="Times New Roman"/>
          <w:b w:val="0"/>
          <w:i/>
          <w:sz w:val="20"/>
        </w:rPr>
        <w:t>Author note. Quantitative values are from a calibrated synthetic completer panel for method scaffolding and presentation format (Nicol &amp; Pexman). They are not findings from real students. Qualitative data and analysis (RQ2–RQ3) will follow once this quantitative comparison is locked.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Research questions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RQ1 (Quantitative). To what extent do students’ institutional English proficiency scores change from PYP exit to graduation after four years of engineering EMI, across Listening, Reading, Writing, Speaking, and Overall?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RQ2 (Qualitative — students; primary). To what do students attribute oral–aural attrition during EMI, and what themes emerge (including frequent translanguaging)?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2"/>
        </w:rPr>
        <w:t>RQ3 (Qualitative — lecturers; optional/light). Do lecturers report translanguaging, for what reasons, and how do they perceive students’ English?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Methodology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Research design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study adopts an explanatory sequential mixed-methods design (Creswell &amp; Plano Clark, 2018). Phase 1 (quantitative) uses a longitudinal completer panel: the same engineering EMI students sat parallel institutional academic English tests at (a) the end of the Preparatory Year Programme (PYP; pretest) and (b) immediately before graduation after four years of EMI (posttest). This supports paired (dependent-samples) comparison of proficiency change by skill (Field, 2013; Nicol &amp; Pexman, 2010a). Phase 2 (qualitative; forthcoming) will collect lecturer and student accounts to explain oral–aural attrition through translanguaging and EMI language practices. No quantitative mechanism models (underrating indices, TL% regressions, mediation) are included in Phase 1.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Setting and participants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setting is a Turkish public-university engineering faculty in which students complete an English PYP before EMI content courses. Progression requires a minimum overall score of 60/100 (≈ CEFR B1). The analytic sample comprised 120 EMI engineering completers with both pretest and posttest scores (synthetic panel for scaffolding; 82 male, 38 female). Majors were balanced across Mechanical, Chemical, and Electrical-Electronics Engineering (n = 40 each).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Instrument and procedure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The institutional academic English test covered Listening, Reading, Writing, and Speaking on a 0–100 scale; Overall was the unweighted mean of the four skill scores. The graduation-year administration used a parallel form (same blueprint and rubric family; different items). Writing and Speaking were marked independently by three raters (testing expert and two PYP instructors); the official skill score was the mean of the three marks. Pretest scores came from the PYP-exit administration; posttest scores from the graduation-year administration.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Quantitative data analysis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Analyses addressed RQ1 only. Because the question concerns skill-specific Pre–Post change, paired-samples t tests (with Wilcoxon signed-rank companions) were run for Listening, Reading, Writing, Speaking, and Overall, reporting Cohen’s d_z and 95% confidence intervals for mean differences (Nicol &amp; Pexman, 2010a, t-test Play-It-Safe format). Shapiro–Wilk tests inspected difference-score distributions. MANOVA and repeated-measures ANOVA were not adopted as lead analyses: a multivariate omnibus would still require univariate follow-ups and would expand the results section without clarifying which skills declined. For publishing economy, presentation is limited to two tables and one grouped Pre–Post bar figure with 95% CIs (Nicol &amp; Pexman, 2010b). Explanatory accounts of attrition are reserved for the qualitative strand.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Qualitative strand (forthcoming)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RQ2–RQ3 will draw on lecturer and student interviews. Anticipated lecturer themes include translanguaging as compensation for perceived student English limitations to secure content learning. Anticipated student themes include materials/lecturer English beyond their level and/or lecturers’ limited EMI proficiency; reduced English verbal interaction; and a felt decline in Listening and Speaking. Thematic analysis will proceed after these quantitative results are fixed.</w:t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Quantitative results (RQ1)</w:t>
      </w:r>
    </w:p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Preliminary descriptives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All 120 completers scored at or above the institutional threshold at pretest (Pre_Overall minimum = 60.1). Mean Overall declined from Pre (M = 66.79, SD = 4.61) to Post (M = 64.81, SD = 4.89). At graduation, 18 students (15.0%) scored below 60 overall. Table 1 reports Pre and Post means and standard deviations by skill in a Play-It-Safe means format (Nicol &amp; Pexman, 2010a).</w:t>
      </w:r>
    </w:p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Table 1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Descriptive Statistics for Pre and Post Proficiency Scores (N = 120)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Scores are on the 0–100 institutional scale. PYP pass threshold = 60 (≈ CEFR B1).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Pre M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Pre SD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Post M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Post SD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Listening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67.25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5.24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63.70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6.12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Reading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67.82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4.86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68.23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5.72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Writing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66.34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5.22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66.69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6.51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Speaking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5.60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60.62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6.33</w:t>
            </w:r>
          </w:p>
        </w:tc>
      </w:tr>
      <w:tr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Overall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66.79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4.61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64.81</w:t>
            </w:r>
          </w:p>
        </w:tc>
        <w:tc>
          <w:tcPr>
            <w:tcW w:type="dxa" w:w="1728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4.89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Paired-samples comparisons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Table 2 presents paired-samples t tests for Pre–Post change (Mdiff = Pre − Post; positive values indicate attrition), following Nicol and Pexman’s (2010a) Play-It-Safe multi-t-test layout. Speaking showed the largest significant decline (Mdiff = 5.10, t(119) = 12.21, p &lt; .001, d_z = 1.11, 95% CI [4.27, 5.93]). Listening also declined significantly, though less sharply (Mdiff = 3.55, t(119) = 9.46, p &lt; .001, d_z = 0.86, 95% CI [2.81, 4.29]). Reading (Mdiff = -0.41, t(119) = -1.26, p = .21, d_z = -0.11) and Writing (Mdiff = -0.35, t(119) = -0.93, p = .35, d_z = -0.09) did not decline; both showed small non-significant gains. Overall declined significantly (Mdiff = 1.97, t(119) = 8.50, p &lt; .001, d_z = 0.78), reflecting the oral–aural losses. Wilcoxon signed-rank tests supported the same significance decisions.</w:t>
      </w:r>
    </w:p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Table 2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Paired-Samples Tests of Pre–Post Change (N = 120)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Mdiff = Pre − Post (positive = attrition). d_z = Cohen’s d for paired designs. 95% CIs are for mean differences. Wilcoxon signed-rank p values were consistent with the paired t conclusions. *p &lt; .05. **p &lt; .01. ***p &lt; .001.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Mdiff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SD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t(119)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d_z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single" w:sz="12" w:space="0" w:color="000000"/>
              <w:bottom w:val="single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95% CI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Listening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3.55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9.46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[2.81, 4.29]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Reading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-0.41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-1.26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= .21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[-1.04, 0.23]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Writing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-0.35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4.10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-0.93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= .35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-0.09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[-1.09, 0.39]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Speaking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5.10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4.57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12.21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1.11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nil" w:sz="8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[4.27, 5.93]</w:t>
            </w:r>
          </w:p>
        </w:tc>
      </w:tr>
      <w:tr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Overall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1.97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8.50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&lt; .001***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0.78</w:t>
            </w:r>
          </w:p>
        </w:tc>
        <w:tc>
          <w:tcPr>
            <w:tcW w:type="dxa" w:w="1234"/>
            <w:tcBorders>
              <w:left w:val="nil" w:sz="8" w:space="0" w:color="000000"/>
              <w:right w:val="nil" w:sz="8" w:space="0" w:color="000000"/>
              <w:top w:val="nil" w:sz="8" w:space="0" w:color="000000"/>
              <w:bottom w:val="single" w:sz="12" w:space="0" w:color="000000"/>
            </w:tcBorders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[1.51, 2.43]</w:t>
            </w:r>
          </w:p>
        </w:tc>
      </w:tr>
    </w:tbl>
    <w:p>
      <w:pPr>
        <w:pStyle w:val="Heading2"/>
      </w:pPr>
      <w:r>
        <w:rPr>
          <w:rFonts w:ascii="Times New Roman" w:hAnsi="Times New Roman"/>
          <w:b/>
          <w:i w:val="0"/>
          <w:color w:val="1F4E79"/>
          <w:sz w:val="24"/>
        </w:rPr>
        <w:t>Summary for the mixed-methods sequence</w:t>
      </w:r>
    </w:p>
    <w:p>
      <w:pPr>
        <w:spacing w:after="160" w:line="360" w:lineRule="auto"/>
        <w:ind w:firstLine="432"/>
      </w:pPr>
      <w:r>
        <w:rPr>
          <w:rFonts w:ascii="Times New Roman" w:hAnsi="Times New Roman"/>
          <w:b w:val="0"/>
          <w:i w:val="0"/>
          <w:sz w:val="22"/>
        </w:rPr>
        <w:t>Taken together, quantitative attrition is concentrated in the oral–aural skills: Speaking shows the greatest loss and Listening a substantial secondary loss, whereas Reading and Writing remain statistically stable (slight non-significant gains), consistent with stronger reliance on written EAP discourse during the degree. Figure 1 displays Pre versus Post means with 95% confidence intervals and is the sole publication figure. These results answer RQ1 and motivate the qualitative strand (RQ2–RQ3) on translanguaging and related attributions, without additional quantitative mechanism models.</w:t>
      </w:r>
    </w:p>
    <w:p>
      <w:pPr>
        <w:spacing w:before="240" w:after="0"/>
      </w:pPr>
      <w:r>
        <w:rPr>
          <w:rFonts w:ascii="Times New Roman" w:hAnsi="Times New Roman"/>
          <w:b/>
          <w:i w:val="0"/>
          <w:sz w:val="22"/>
        </w:rPr>
        <w:t>Figure 1</w:t>
      </w:r>
    </w:p>
    <w:p>
      <w:pPr>
        <w:spacing w:after="120"/>
      </w:pPr>
      <w:r>
        <w:rPr>
          <w:rFonts w:ascii="Times New Roman" w:hAnsi="Times New Roman"/>
          <w:b w:val="0"/>
          <w:i/>
          <w:sz w:val="22"/>
        </w:rPr>
        <w:t>Mean Pre (PYP exit) and Post (graduation) scores by skill with 95% confidence intervals of the mean (0–100 scale). Speaking shows the largest decline, then Listening; Reading and Writing do not decline. PYP pass threshold = 60.</w:t>
      </w:r>
    </w:p>
    <w:p>
      <w:pPr>
        <w:spacing w:before="80"/>
      </w:pPr>
      <w:r>
        <w:rPr>
          <w:rFonts w:ascii="Times New Roman" w:hAnsi="Times New Roman"/>
          <w:b w:val="0"/>
          <w:i w:val="0"/>
          <w:sz w:val="18"/>
        </w:rPr>
        <w:t>Note. Grouped bar graph (Nicol &amp; Pexman, 2010b). Error bars = 95% CIs of the mean. Only figure retained for publishing economy.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kill_prepost_gg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i w:val="0"/>
          <w:color w:val="1F4E79"/>
          <w:sz w:val="28"/>
        </w:rPr>
        <w:t>References (selected)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Creswell, J. W., &amp; Plano Clark, V. L. (2018). Designing and conducting mixed methods research (3rd ed.). SAGE.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Field, A. (2013). Discovering statistics using IBM SPSS Statistics (4th ed.). SAGE.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Nicol, A. A. M., &amp; Pexman, P. M. (2010a). Presenting your findings: A practical guide for creating tables (6th ed.). APA.</w:t>
      </w:r>
    </w:p>
    <w:p>
      <w:pPr>
        <w:spacing w:after="160" w:line="360" w:lineRule="auto"/>
      </w:pPr>
      <w:r>
        <w:rPr>
          <w:rFonts w:ascii="Times New Roman" w:hAnsi="Times New Roman"/>
          <w:b w:val="0"/>
          <w:i w:val="0"/>
          <w:sz w:val="20"/>
        </w:rPr>
        <w:t>Nicol, A. A. M., &amp; Pexman, P. M. (2010b). Displaying your findings: A practical guide for creating figures, posters, and presentations (6th ed.). APA.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