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sz w:val="28"/>
        </w:rPr>
        <w:t>English-Medium Instruction, Lecturer Underrating, and Four-Year Proficiency Change:</w:t>
        <w:br/>
        <w:t>Methodology and Quantitative Results</w:t>
      </w:r>
    </w:p>
    <w:p>
      <w:pPr>
        <w:spacing w:after="320"/>
        <w:jc w:val="center"/>
      </w:pPr>
      <w:r>
        <w:rPr>
          <w:rFonts w:ascii="Times New Roman" w:hAnsi="Times New Roman" w:eastAsia="Times New Roman"/>
          <w:b w:val="0"/>
          <w:i/>
          <w:color w:val="666666"/>
          <w:sz w:val="20"/>
        </w:rPr>
        <w:t>Draft sections for manuscript development  ·  Based on a synthetic N = 120 panel</w:t>
        <w:br/>
        <w:t>(for instrument testing and paper scaffolding; replace with live institutional data before submission)</w:t>
      </w:r>
    </w:p>
    <w:p>
      <w:pPr>
        <w:spacing w:after="280"/>
        <w:ind w:firstLine="0"/>
        <w:jc w:val="both"/>
      </w:pPr>
      <w:r>
        <w:rPr>
          <w:rFonts w:ascii="Times New Roman" w:hAnsi="Times New Roman" w:eastAsia="Times New Roman"/>
          <w:b/>
          <w:i/>
          <w:sz w:val="20"/>
        </w:rPr>
        <w:t xml:space="preserve">Author note. </w:t>
      </w:r>
      <w:r>
        <w:rPr>
          <w:rFonts w:ascii="Times New Roman" w:hAnsi="Times New Roman" w:eastAsia="Times New Roman"/>
          <w:b w:val="0"/>
          <w:i/>
          <w:sz w:val="20"/>
        </w:rPr>
        <w:t>The quantitative values reported below are from a calibrated synthetic panel designed to match the institution’s testing policy and the planned Golem-effect analysis. They illustrate the intended statistical pathway; they are not findings from real students.</w:t>
      </w:r>
    </w:p>
    <w:p>
      <w:pPr>
        <w:pStyle w:val="Heading1"/>
        <w:spacing w:before="280" w:after="160"/>
      </w:pPr>
      <w:r>
        <w:rPr>
          <w:rFonts w:ascii="Times New Roman" w:hAnsi="Times New Roman" w:eastAsia="Times New Roman"/>
          <w:b/>
          <w:i w:val="0"/>
          <w:color w:val="1F4E79"/>
          <w:sz w:val="28"/>
        </w:rPr>
        <w:t>Methodology</w:t>
      </w:r>
    </w:p>
    <w:p>
      <w:pPr>
        <w:pStyle w:val="Heading2"/>
        <w:spacing w:before="280" w:after="160"/>
      </w:pPr>
      <w:r>
        <w:rPr>
          <w:rFonts w:ascii="Times New Roman" w:hAnsi="Times New Roman" w:eastAsia="Times New Roman"/>
          <w:b/>
          <w:i w:val="0"/>
          <w:color w:val="1F4E79"/>
          <w:sz w:val="24"/>
        </w:rPr>
        <w:t>Research design</w:t>
      </w:r>
    </w:p>
    <w:p>
      <w:pPr>
        <w:spacing w:after="160" w:line="360" w:lineRule="auto"/>
        <w:ind w:firstLine="720"/>
        <w:jc w:val="both"/>
      </w:pPr>
      <w:r>
        <w:rPr>
          <w:rFonts w:ascii="Times New Roman" w:hAnsi="Times New Roman" w:eastAsia="Times New Roman"/>
          <w:b w:val="0"/>
          <w:i w:val="0"/>
          <w:sz w:val="22"/>
        </w:rPr>
        <w:t>The study used a longitudinal panel design with two parallel administrations of an institutional academic English proficiency test: (a) at the end of the Preparatory Year Programme (PYP; pretest) and (b) immediately before graduation after four years of English-medium instruction (EMI) in an engineering major (posttest). The same students sat both forms. The design therefore supports a paired (dependent) comparison of proficiency change, supplemented by questionnaire and lecturer-estimate measures collected to evaluate whether any decline is consistent with a Golem-type expectancy mechanism rather than with uniform skill attrition alone.</w:t>
      </w:r>
    </w:p>
    <w:p>
      <w:pPr>
        <w:spacing w:after="160" w:line="360" w:lineRule="auto"/>
        <w:ind w:firstLine="720"/>
        <w:jc w:val="both"/>
      </w:pPr>
      <w:r>
        <w:rPr>
          <w:rFonts w:ascii="Times New Roman" w:hAnsi="Times New Roman" w:eastAsia="Times New Roman"/>
          <w:b w:val="0"/>
          <w:i w:val="0"/>
          <w:sz w:val="22"/>
        </w:rPr>
        <w:t>Because the Golem effect, as originally formulated by Babad, Inbar, and Rosenthal (1982), requires evidence that a low expectation is inaccurate and is enacted through differential treatment that suppresses demonstrated performance, the quantitative strand measured four layers: (1) actual proficiency at PYP exit; (2) lecturers’ estimates of students’ English (inaccuracy); (3) exposure to Turkish in content courses (treatment); and (4) students’ willingness to communicate in English and English self-efficacy (internalization). Lecturer English-for-academic-purposes (EAP) limitation was measured as a competing explanation for translanguaging and was not labelled as a Golem indicator.</w:t>
      </w:r>
    </w:p>
    <w:p>
      <w:pPr>
        <w:pStyle w:val="Heading2"/>
        <w:spacing w:before="280" w:after="160"/>
      </w:pPr>
      <w:r>
        <w:rPr>
          <w:rFonts w:ascii="Times New Roman" w:hAnsi="Times New Roman" w:eastAsia="Times New Roman"/>
          <w:b/>
          <w:i w:val="0"/>
          <w:color w:val="1F4E79"/>
          <w:sz w:val="24"/>
        </w:rPr>
        <w:t>Participants</w:t>
      </w:r>
    </w:p>
    <w:p>
      <w:pPr>
        <w:spacing w:after="160" w:line="360" w:lineRule="auto"/>
        <w:ind w:firstLine="720"/>
        <w:jc w:val="both"/>
      </w:pPr>
      <w:r>
        <w:rPr>
          <w:rFonts w:ascii="Times New Roman" w:hAnsi="Times New Roman" w:eastAsia="Times New Roman"/>
          <w:b w:val="0"/>
          <w:i w:val="0"/>
          <w:sz w:val="22"/>
        </w:rPr>
        <w:t>The analytic sample comprised N = 120 engineering students who completed both the PYP-exit and graduation-year administrations (completers). Gender composition reflected the predominantly male profile of Turkish EMI engineering cohorts: 82 male (68.3%) and 38 female (31.7%). Students were balanced across three majors in the Faculty of Engineering (n = 40 each): Mechanical Engineering, Chemical Engineering, and Electrical-Electronics Engineering. Age at graduation ranged from 22 to 25 years; age at PYP exit was recorded as four years younger (18–21). Students were nested in 12 content lecturers (10 students per lecturer), so that expectancy and classroom language practice could be examined at the lecturer level as well as the student level.</w:t>
      </w:r>
    </w:p>
    <w:p>
      <w:pPr>
        <w:spacing w:after="160" w:line="360" w:lineRule="auto"/>
        <w:ind w:firstLine="720"/>
        <w:jc w:val="both"/>
      </w:pPr>
      <w:r>
        <w:rPr>
          <w:rFonts w:ascii="Times New Roman" w:hAnsi="Times New Roman" w:eastAsia="Times New Roman"/>
          <w:b w:val="0"/>
          <w:i w:val="0"/>
          <w:sz w:val="22"/>
        </w:rPr>
        <w:t>All participants had met the institutional PYP pass mark of 60/100, interpreted by the university’s testing policy as CEFR B1. Students who left the programme, transferred, or did not sit the graduation-year form were outside the completer panel; attrition of that kind is acknowledged as a limitation for generalisation.</w:t>
      </w:r>
    </w:p>
    <w:p>
      <w:pPr>
        <w:pStyle w:val="Heading2"/>
        <w:spacing w:before="280" w:after="160"/>
      </w:pPr>
      <w:r>
        <w:rPr>
          <w:rFonts w:ascii="Times New Roman" w:hAnsi="Times New Roman" w:eastAsia="Times New Roman"/>
          <w:b/>
          <w:i w:val="0"/>
          <w:color w:val="1F4E79"/>
          <w:sz w:val="24"/>
        </w:rPr>
        <w:t>Institutional testing instrument</w:t>
      </w:r>
    </w:p>
    <w:p>
      <w:pPr>
        <w:spacing w:after="160" w:line="360" w:lineRule="auto"/>
        <w:ind w:firstLine="720"/>
        <w:jc w:val="both"/>
      </w:pPr>
      <w:r>
        <w:rPr>
          <w:rFonts w:ascii="Times New Roman" w:hAnsi="Times New Roman" w:eastAsia="Times New Roman"/>
          <w:b w:val="0"/>
          <w:i w:val="0"/>
          <w:sz w:val="22"/>
        </w:rPr>
        <w:t>Proficiency was assessed with an in-house academic English examination aligned with IELTS Academic. The test covered four skills—Listening, Reading, Writing, and Speaking—on a 0–100 scale. The overall score was the unweighted mean of the four skill scores. Institutional standard setting maps 60/100 to CEFR B1 as the threshold for progression from the PYP into EMI majors. The graduation-year form was a parallel form: the same blueprint and CEFR mapping, but different items. The two forms were not identical papers.</w:t>
      </w:r>
    </w:p>
    <w:p>
      <w:pPr>
        <w:spacing w:after="160" w:line="360" w:lineRule="auto"/>
        <w:ind w:firstLine="720"/>
        <w:jc w:val="both"/>
      </w:pPr>
      <w:r>
        <w:rPr>
          <w:rFonts w:ascii="Times New Roman" w:hAnsi="Times New Roman" w:eastAsia="Times New Roman"/>
          <w:b w:val="0"/>
          <w:i w:val="0"/>
          <w:sz w:val="22"/>
        </w:rPr>
        <w:t>Listening and Reading each comprised four sections mapped to IELTS Academic item types. Writing was scored with the public IELTS Academic Writing criteria (Task Response, Coherence and Cohesion, Lexical Resource, Grammatical Range and Accuracy). Speaking used the public IELTS Academic Speaking criteria (Fluency and Coherence, Lexical Resource, Grammatical Range and Accuracy, Pronunciation). Criteria were converted internally to the 0–100 institutional scale.</w:t>
      </w:r>
    </w:p>
    <w:p>
      <w:pPr>
        <w:pStyle w:val="Heading2"/>
        <w:spacing w:before="280" w:after="160"/>
      </w:pPr>
      <w:r>
        <w:rPr>
          <w:rFonts w:ascii="Times New Roman" w:hAnsi="Times New Roman" w:eastAsia="Times New Roman"/>
          <w:b/>
          <w:i w:val="0"/>
          <w:color w:val="1F4E79"/>
          <w:sz w:val="24"/>
        </w:rPr>
        <w:t>Marking and raters</w:t>
      </w:r>
    </w:p>
    <w:p>
      <w:pPr>
        <w:spacing w:after="160" w:line="360" w:lineRule="auto"/>
        <w:ind w:firstLine="720"/>
        <w:jc w:val="both"/>
      </w:pPr>
      <w:r>
        <w:rPr>
          <w:rFonts w:ascii="Times New Roman" w:hAnsi="Times New Roman" w:eastAsia="Times New Roman"/>
          <w:b w:val="0"/>
          <w:i w:val="0"/>
          <w:sz w:val="22"/>
        </w:rPr>
        <w:t>Writing scripts and Speaking performances were marked independently by three raters: the testing expert (author) and two Preparatory Year Programme English language instructors. The official skill score was the mean of the three marks. Inter-rater reliability was evaluated with Shrout and Fleiss ICC(2,1) for a single rater and ICC(2,k) for the reliability of the three-rater mean. Listening and Reading were objectively scored. Content-lecturer estimates of student English, used for the inaccuracy criterion, were collected from content lecturers and were independent of the PYP raters of the proficiency test.</w:t>
      </w:r>
    </w:p>
    <w:p>
      <w:pPr>
        <w:pStyle w:val="Heading2"/>
        <w:spacing w:before="280" w:after="160"/>
      </w:pPr>
      <w:r>
        <w:rPr>
          <w:rFonts w:ascii="Times New Roman" w:hAnsi="Times New Roman" w:eastAsia="Times New Roman"/>
          <w:b/>
          <w:i w:val="0"/>
          <w:color w:val="1F4E79"/>
          <w:sz w:val="24"/>
        </w:rPr>
        <w:t>Concurrent validity subsample</w:t>
      </w:r>
    </w:p>
    <w:p>
      <w:pPr>
        <w:spacing w:after="160" w:line="360" w:lineRule="auto"/>
        <w:ind w:firstLine="720"/>
        <w:jc w:val="both"/>
      </w:pPr>
      <w:r>
        <w:rPr>
          <w:rFonts w:ascii="Times New Roman" w:hAnsi="Times New Roman" w:eastAsia="Times New Roman"/>
          <w:b w:val="0"/>
          <w:i w:val="0"/>
          <w:sz w:val="22"/>
        </w:rPr>
        <w:t>A stratified subsample (n = 36; 12 students per major) sat official IELTS Academic practice materials obtained from the IELTS website (ielts.org) under exam conditions at PYP exit. Pearson correlations between institutional skill/overall scores and corresponding IELTS band scores were used as concurrent-validity evidence. Content validity rested on the shared IELTS Academic blueprint and descriptors, the CEFR B1 threshold statement, and the parallel-form design.</w:t>
      </w:r>
    </w:p>
    <w:p>
      <w:pPr>
        <w:pStyle w:val="Heading2"/>
        <w:spacing w:before="280" w:after="160"/>
      </w:pPr>
      <w:r>
        <w:rPr>
          <w:rFonts w:ascii="Times New Roman" w:hAnsi="Times New Roman" w:eastAsia="Times New Roman"/>
          <w:b/>
          <w:i w:val="0"/>
          <w:color w:val="1F4E79"/>
          <w:sz w:val="24"/>
        </w:rPr>
        <w:t>Mechanism measures</w:t>
      </w:r>
    </w:p>
    <w:p>
      <w:pPr>
        <w:spacing w:after="160" w:line="360" w:lineRule="auto"/>
        <w:ind w:firstLine="720"/>
        <w:jc w:val="both"/>
      </w:pPr>
      <w:r>
        <w:rPr>
          <w:rFonts w:ascii="Times New Roman" w:hAnsi="Times New Roman" w:eastAsia="Times New Roman"/>
          <w:b w:val="0"/>
          <w:i w:val="0"/>
          <w:sz w:val="22"/>
        </w:rPr>
        <w:t>In the final EMI year, students completed five-point Likert scales (1 = strongly disagree, 5 = strongly agree) for perceived underrating (PU1–PU5), translanguaging exposure (TL1–TL5), lecturer EAP limitation (EAP1–EAP5; competing cause), willingness to communicate in English (WTC1–WTC5), and English self-efficacy (SE1–SE5). Students also estimated the percentage of content-course time conducted in Turkish rather than English (TL_percent; 0–100). The underrating gap was computed as Pre_Overall minus the content lecturer’s estimate of that student’s English (positive values = underestimated).</w:t>
      </w:r>
    </w:p>
    <w:p>
      <w:pPr>
        <w:pStyle w:val="Heading2"/>
        <w:spacing w:before="280" w:after="160"/>
      </w:pPr>
      <w:r>
        <w:rPr>
          <w:rFonts w:ascii="Times New Roman" w:hAnsi="Times New Roman" w:eastAsia="Times New Roman"/>
          <w:b/>
          <w:i w:val="0"/>
          <w:color w:val="1F4E79"/>
          <w:sz w:val="24"/>
        </w:rPr>
        <w:t>Data analysis</w:t>
      </w:r>
    </w:p>
    <w:p>
      <w:pPr>
        <w:spacing w:after="160" w:line="360" w:lineRule="auto"/>
        <w:ind w:firstLine="720"/>
        <w:jc w:val="both"/>
      </w:pPr>
      <w:r>
        <w:rPr>
          <w:rFonts w:ascii="Times New Roman" w:hAnsi="Times New Roman" w:eastAsia="Times New Roman"/>
          <w:b w:val="0"/>
          <w:i w:val="0"/>
          <w:sz w:val="22"/>
        </w:rPr>
        <w:t>Analyses were conducted in Python (pandas, SciPy, statsmodels). Descriptive statistics included means, standard deviations, minima, maxima, skewness, and excess kurtosis. Normality of difference scores (pre − post) was assessed with the Shapiro–Wilk test; the paired-samples t-test assumes approximate normality of difference scores, not of the raw totals. The primary proficiency-change test was a paired-samples t-test for each skill and for the overall score, with Wilcoxon signed-rank tests as distribution-free companions and Cohen’s d_z (and d_av) as effect sizes. An independent-samples t-test was not used for the pre–post comparison because observations were matched.</w:t>
      </w:r>
    </w:p>
    <w:p>
      <w:pPr>
        <w:spacing w:after="160" w:line="360" w:lineRule="auto"/>
        <w:ind w:firstLine="720"/>
        <w:jc w:val="both"/>
      </w:pPr>
      <w:r>
        <w:rPr>
          <w:rFonts w:ascii="Times New Roman" w:hAnsi="Times New Roman" w:eastAsia="Times New Roman"/>
          <w:b w:val="0"/>
          <w:i w:val="0"/>
          <w:sz w:val="22"/>
        </w:rPr>
        <w:t>Internal consistency was estimated with Cronbach’s α and McDonald’s ω for Listening/Reading section scores, Writing/Speaking rubric criteria, and questionnaire scales. Concurrent validity used Pearson correlations with the IELTS subsample. Mechanism tests included (a) a paired comparison of actual PYP scores versus lecturer estimates; (b) Pearson correlations between overall decline and underrating, translanguaging, perceived underrating, EAP limitation, WTC, and self-efficacy; (c) OLS regressions of decline on EAP-only, underrating, and a joint model with underrating, TL_percent, EAP_mean, pretest, major, and gender; (d) a Sobel mediation check for the path underrating → translanguaging → decline; and (e) exploratory lecturer-level correlations and a one-way ICC of decline by lecturer. Causal language was kept associative throughout.</w:t>
      </w:r>
    </w:p>
    <w:p>
      <w:pPr>
        <w:pStyle w:val="Heading1"/>
        <w:spacing w:before="280" w:after="160"/>
      </w:pPr>
      <w:r>
        <w:rPr>
          <w:rFonts w:ascii="Times New Roman" w:hAnsi="Times New Roman" w:eastAsia="Times New Roman"/>
          <w:b/>
          <w:i w:val="0"/>
          <w:color w:val="1F4E79"/>
          <w:sz w:val="28"/>
        </w:rPr>
        <w:t>Quantitative Results</w:t>
      </w:r>
    </w:p>
    <w:p>
      <w:pPr>
        <w:pStyle w:val="Heading2"/>
        <w:spacing w:before="280" w:after="160"/>
      </w:pPr>
      <w:r>
        <w:rPr>
          <w:rFonts w:ascii="Times New Roman" w:hAnsi="Times New Roman" w:eastAsia="Times New Roman"/>
          <w:b/>
          <w:i w:val="0"/>
          <w:color w:val="1F4E79"/>
          <w:sz w:val="24"/>
        </w:rPr>
        <w:t>Descriptive statistics and normality</w:t>
      </w:r>
    </w:p>
    <w:p>
      <w:pPr>
        <w:spacing w:after="160" w:line="360" w:lineRule="auto"/>
        <w:ind w:firstLine="720"/>
        <w:jc w:val="both"/>
      </w:pPr>
      <w:r>
        <w:rPr>
          <w:rFonts w:ascii="Times New Roman" w:hAnsi="Times New Roman" w:eastAsia="Times New Roman"/>
          <w:b w:val="0"/>
          <w:i w:val="0"/>
          <w:sz w:val="22"/>
        </w:rPr>
        <w:t>All 120 students scored at or above the institutional B1 threshold on the pretest (Pre_Overall minimum = 60.1; M = 66.79, SD = 4.61). At graduation, the overall mean was 64.81 (SD = 4.89), and 18 students (15.0%) scored below 60. Table 1 summarises key variables. Shapiro–Wilk on Speaking difference scores was W = 0.988, p = .346.</w:t>
      </w:r>
    </w:p>
    <w:p>
      <w:pPr>
        <w:spacing w:before="200" w:after="80"/>
        <w:ind w:firstLine="0"/>
        <w:jc w:val="left"/>
      </w:pPr>
      <w:r>
        <w:rPr>
          <w:rFonts w:ascii="Times New Roman" w:hAnsi="Times New Roman" w:eastAsia="Times New Roman"/>
          <w:b/>
          <w:i/>
          <w:sz w:val="20"/>
        </w:rPr>
        <w:t>Table 1. Descriptive statistics for key variables (N = 120)</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before="40" w:line="240" w:lineRule="auto"/>
            </w:pPr>
            <w:r>
              <w:rPr>
                <w:rFonts w:ascii="Times New Roman" w:hAnsi="Times New Roman" w:eastAsia="Times New Roman"/>
                <w:b w:val="0"/>
                <w:i w:val="0"/>
                <w:sz w:val="18"/>
              </w:rPr>
              <w:t>Variable</w:t>
            </w:r>
          </w:p>
        </w:tc>
        <w:tc>
          <w:tcPr>
            <w:tcW w:type="dxa" w:w="1337"/>
          </w:tcPr>
          <w:p>
            <w:pPr>
              <w:spacing w:after="40" w:before="40" w:line="240" w:lineRule="auto"/>
            </w:pPr>
            <w:r>
              <w:rPr>
                <w:rFonts w:ascii="Times New Roman" w:hAnsi="Times New Roman" w:eastAsia="Times New Roman"/>
                <w:b w:val="0"/>
                <w:i w:val="0"/>
                <w:sz w:val="18"/>
              </w:rPr>
              <w:t>M</w:t>
            </w:r>
          </w:p>
        </w:tc>
        <w:tc>
          <w:tcPr>
            <w:tcW w:type="dxa" w:w="1337"/>
          </w:tcPr>
          <w:p>
            <w:pPr>
              <w:spacing w:after="40" w:before="40" w:line="240" w:lineRule="auto"/>
            </w:pPr>
            <w:r>
              <w:rPr>
                <w:rFonts w:ascii="Times New Roman" w:hAnsi="Times New Roman" w:eastAsia="Times New Roman"/>
                <w:b w:val="0"/>
                <w:i w:val="0"/>
                <w:sz w:val="18"/>
              </w:rPr>
              <w:t>SD</w:t>
            </w:r>
          </w:p>
        </w:tc>
        <w:tc>
          <w:tcPr>
            <w:tcW w:type="dxa" w:w="1337"/>
          </w:tcPr>
          <w:p>
            <w:pPr>
              <w:spacing w:after="40" w:before="40" w:line="240" w:lineRule="auto"/>
            </w:pPr>
            <w:r>
              <w:rPr>
                <w:rFonts w:ascii="Times New Roman" w:hAnsi="Times New Roman" w:eastAsia="Times New Roman"/>
                <w:b w:val="0"/>
                <w:i w:val="0"/>
                <w:sz w:val="18"/>
              </w:rPr>
              <w:t>Min</w:t>
            </w:r>
          </w:p>
        </w:tc>
        <w:tc>
          <w:tcPr>
            <w:tcW w:type="dxa" w:w="1337"/>
          </w:tcPr>
          <w:p>
            <w:pPr>
              <w:spacing w:after="40" w:before="40" w:line="240" w:lineRule="auto"/>
            </w:pPr>
            <w:r>
              <w:rPr>
                <w:rFonts w:ascii="Times New Roman" w:hAnsi="Times New Roman" w:eastAsia="Times New Roman"/>
                <w:b w:val="0"/>
                <w:i w:val="0"/>
                <w:sz w:val="18"/>
              </w:rPr>
              <w:t>Max</w:t>
            </w:r>
          </w:p>
        </w:tc>
        <w:tc>
          <w:tcPr>
            <w:tcW w:type="dxa" w:w="1337"/>
          </w:tcPr>
          <w:p>
            <w:pPr>
              <w:spacing w:after="40" w:before="40" w:line="240" w:lineRule="auto"/>
            </w:pPr>
            <w:r>
              <w:rPr>
                <w:rFonts w:ascii="Times New Roman" w:hAnsi="Times New Roman" w:eastAsia="Times New Roman"/>
                <w:b w:val="0"/>
                <w:i w:val="0"/>
                <w:sz w:val="18"/>
              </w:rPr>
              <w:t>Skew</w:t>
            </w:r>
          </w:p>
        </w:tc>
        <w:tc>
          <w:tcPr>
            <w:tcW w:type="dxa" w:w="1337"/>
          </w:tcPr>
          <w:p>
            <w:pPr>
              <w:spacing w:after="40" w:before="40" w:line="240" w:lineRule="auto"/>
            </w:pPr>
            <w:r>
              <w:rPr>
                <w:rFonts w:ascii="Times New Roman" w:hAnsi="Times New Roman" w:eastAsia="Times New Roman"/>
                <w:b w:val="0"/>
                <w:i w:val="0"/>
                <w:sz w:val="18"/>
              </w:rPr>
              <w:t>Kurtosis</w:t>
            </w:r>
          </w:p>
        </w:tc>
      </w:tr>
      <w:tr>
        <w:tc>
          <w:tcPr>
            <w:tcW w:type="dxa" w:w="1337"/>
          </w:tcPr>
          <w:p>
            <w:pPr>
              <w:spacing w:after="40" w:before="40" w:line="240" w:lineRule="auto"/>
            </w:pPr>
            <w:r>
              <w:rPr>
                <w:rFonts w:ascii="Times New Roman" w:hAnsi="Times New Roman" w:eastAsia="Times New Roman"/>
                <w:b w:val="0"/>
                <w:i w:val="0"/>
                <w:sz w:val="18"/>
              </w:rPr>
              <w:t>Pre_Overall</w:t>
            </w:r>
          </w:p>
        </w:tc>
        <w:tc>
          <w:tcPr>
            <w:tcW w:type="dxa" w:w="1337"/>
          </w:tcPr>
          <w:p>
            <w:pPr>
              <w:spacing w:after="40" w:before="40" w:line="240" w:lineRule="auto"/>
            </w:pPr>
            <w:r>
              <w:rPr>
                <w:rFonts w:ascii="Times New Roman" w:hAnsi="Times New Roman" w:eastAsia="Times New Roman"/>
                <w:b w:val="0"/>
                <w:i w:val="0"/>
                <w:sz w:val="18"/>
              </w:rPr>
              <w:t>66.79</w:t>
            </w:r>
          </w:p>
        </w:tc>
        <w:tc>
          <w:tcPr>
            <w:tcW w:type="dxa" w:w="1337"/>
          </w:tcPr>
          <w:p>
            <w:pPr>
              <w:spacing w:after="40" w:before="40" w:line="240" w:lineRule="auto"/>
            </w:pPr>
            <w:r>
              <w:rPr>
                <w:rFonts w:ascii="Times New Roman" w:hAnsi="Times New Roman" w:eastAsia="Times New Roman"/>
                <w:b w:val="0"/>
                <w:i w:val="0"/>
                <w:sz w:val="18"/>
              </w:rPr>
              <w:t>4.61</w:t>
            </w:r>
          </w:p>
        </w:tc>
        <w:tc>
          <w:tcPr>
            <w:tcW w:type="dxa" w:w="1337"/>
          </w:tcPr>
          <w:p>
            <w:pPr>
              <w:spacing w:after="40" w:before="40" w:line="240" w:lineRule="auto"/>
            </w:pPr>
            <w:r>
              <w:rPr>
                <w:rFonts w:ascii="Times New Roman" w:hAnsi="Times New Roman" w:eastAsia="Times New Roman"/>
                <w:b w:val="0"/>
                <w:i w:val="0"/>
                <w:sz w:val="18"/>
              </w:rPr>
              <w:t>60.1</w:t>
            </w:r>
          </w:p>
        </w:tc>
        <w:tc>
          <w:tcPr>
            <w:tcW w:type="dxa" w:w="1337"/>
          </w:tcPr>
          <w:p>
            <w:pPr>
              <w:spacing w:after="40" w:before="40" w:line="240" w:lineRule="auto"/>
            </w:pPr>
            <w:r>
              <w:rPr>
                <w:rFonts w:ascii="Times New Roman" w:hAnsi="Times New Roman" w:eastAsia="Times New Roman"/>
                <w:b w:val="0"/>
                <w:i w:val="0"/>
                <w:sz w:val="18"/>
              </w:rPr>
              <w:t>81.4</w:t>
            </w:r>
          </w:p>
        </w:tc>
        <w:tc>
          <w:tcPr>
            <w:tcW w:type="dxa" w:w="1337"/>
          </w:tcPr>
          <w:p>
            <w:pPr>
              <w:spacing w:after="40" w:before="40" w:line="240" w:lineRule="auto"/>
            </w:pPr>
            <w:r>
              <w:rPr>
                <w:rFonts w:ascii="Times New Roman" w:hAnsi="Times New Roman" w:eastAsia="Times New Roman"/>
                <w:b w:val="0"/>
                <w:i w:val="0"/>
                <w:sz w:val="18"/>
              </w:rPr>
              <w:t>0.72</w:t>
            </w:r>
          </w:p>
        </w:tc>
        <w:tc>
          <w:tcPr>
            <w:tcW w:type="dxa" w:w="1337"/>
          </w:tcPr>
          <w:p>
            <w:pPr>
              <w:spacing w:after="40" w:before="40" w:line="240" w:lineRule="auto"/>
            </w:pPr>
            <w:r>
              <w:rPr>
                <w:rFonts w:ascii="Times New Roman" w:hAnsi="Times New Roman" w:eastAsia="Times New Roman"/>
                <w:b w:val="0"/>
                <w:i w:val="0"/>
                <w:sz w:val="18"/>
              </w:rPr>
              <w:t>0.39</w:t>
            </w:r>
          </w:p>
        </w:tc>
      </w:tr>
      <w:tr>
        <w:tc>
          <w:tcPr>
            <w:tcW w:type="dxa" w:w="1337"/>
          </w:tcPr>
          <w:p>
            <w:pPr>
              <w:spacing w:after="40" w:before="40" w:line="240" w:lineRule="auto"/>
            </w:pPr>
            <w:r>
              <w:rPr>
                <w:rFonts w:ascii="Times New Roman" w:hAnsi="Times New Roman" w:eastAsia="Times New Roman"/>
                <w:b w:val="0"/>
                <w:i w:val="0"/>
                <w:sz w:val="18"/>
              </w:rPr>
              <w:t>Post_Overall</w:t>
            </w:r>
          </w:p>
        </w:tc>
        <w:tc>
          <w:tcPr>
            <w:tcW w:type="dxa" w:w="1337"/>
          </w:tcPr>
          <w:p>
            <w:pPr>
              <w:spacing w:after="40" w:before="40" w:line="240" w:lineRule="auto"/>
            </w:pPr>
            <w:r>
              <w:rPr>
                <w:rFonts w:ascii="Times New Roman" w:hAnsi="Times New Roman" w:eastAsia="Times New Roman"/>
                <w:b w:val="0"/>
                <w:i w:val="0"/>
                <w:sz w:val="18"/>
              </w:rPr>
              <w:t>64.81</w:t>
            </w:r>
          </w:p>
        </w:tc>
        <w:tc>
          <w:tcPr>
            <w:tcW w:type="dxa" w:w="1337"/>
          </w:tcPr>
          <w:p>
            <w:pPr>
              <w:spacing w:after="40" w:before="40" w:line="240" w:lineRule="auto"/>
            </w:pPr>
            <w:r>
              <w:rPr>
                <w:rFonts w:ascii="Times New Roman" w:hAnsi="Times New Roman" w:eastAsia="Times New Roman"/>
                <w:b w:val="0"/>
                <w:i w:val="0"/>
                <w:sz w:val="18"/>
              </w:rPr>
              <w:t>4.89</w:t>
            </w:r>
          </w:p>
        </w:tc>
        <w:tc>
          <w:tcPr>
            <w:tcW w:type="dxa" w:w="1337"/>
          </w:tcPr>
          <w:p>
            <w:pPr>
              <w:spacing w:after="40" w:before="40" w:line="240" w:lineRule="auto"/>
            </w:pPr>
            <w:r>
              <w:rPr>
                <w:rFonts w:ascii="Times New Roman" w:hAnsi="Times New Roman" w:eastAsia="Times New Roman"/>
                <w:b w:val="0"/>
                <w:i w:val="0"/>
                <w:sz w:val="18"/>
              </w:rPr>
              <w:t>53.8</w:t>
            </w:r>
          </w:p>
        </w:tc>
        <w:tc>
          <w:tcPr>
            <w:tcW w:type="dxa" w:w="1337"/>
          </w:tcPr>
          <w:p>
            <w:pPr>
              <w:spacing w:after="40" w:before="40" w:line="240" w:lineRule="auto"/>
            </w:pPr>
            <w:r>
              <w:rPr>
                <w:rFonts w:ascii="Times New Roman" w:hAnsi="Times New Roman" w:eastAsia="Times New Roman"/>
                <w:b w:val="0"/>
                <w:i w:val="0"/>
                <w:sz w:val="18"/>
              </w:rPr>
              <w:t>80.0</w:t>
            </w:r>
          </w:p>
        </w:tc>
        <w:tc>
          <w:tcPr>
            <w:tcW w:type="dxa" w:w="1337"/>
          </w:tcPr>
          <w:p>
            <w:pPr>
              <w:spacing w:after="40" w:before="40" w:line="240" w:lineRule="auto"/>
            </w:pPr>
            <w:r>
              <w:rPr>
                <w:rFonts w:ascii="Times New Roman" w:hAnsi="Times New Roman" w:eastAsia="Times New Roman"/>
                <w:b w:val="0"/>
                <w:i w:val="0"/>
                <w:sz w:val="18"/>
              </w:rPr>
              <w:t>0.67</w:t>
            </w:r>
          </w:p>
        </w:tc>
        <w:tc>
          <w:tcPr>
            <w:tcW w:type="dxa" w:w="1337"/>
          </w:tcPr>
          <w:p>
            <w:pPr>
              <w:spacing w:after="40" w:before="40" w:line="240" w:lineRule="auto"/>
            </w:pPr>
            <w:r>
              <w:rPr>
                <w:rFonts w:ascii="Times New Roman" w:hAnsi="Times New Roman" w:eastAsia="Times New Roman"/>
                <w:b w:val="0"/>
                <w:i w:val="0"/>
                <w:sz w:val="18"/>
              </w:rPr>
              <w:t>0.40</w:t>
            </w:r>
          </w:p>
        </w:tc>
      </w:tr>
      <w:tr>
        <w:tc>
          <w:tcPr>
            <w:tcW w:type="dxa" w:w="1337"/>
          </w:tcPr>
          <w:p>
            <w:pPr>
              <w:spacing w:after="40" w:before="40" w:line="240" w:lineRule="auto"/>
            </w:pPr>
            <w:r>
              <w:rPr>
                <w:rFonts w:ascii="Times New Roman" w:hAnsi="Times New Roman" w:eastAsia="Times New Roman"/>
                <w:b w:val="0"/>
                <w:i w:val="0"/>
                <w:sz w:val="18"/>
              </w:rPr>
              <w:t>Decline_Speaking</w:t>
            </w:r>
          </w:p>
        </w:tc>
        <w:tc>
          <w:tcPr>
            <w:tcW w:type="dxa" w:w="1337"/>
          </w:tcPr>
          <w:p>
            <w:pPr>
              <w:spacing w:after="40" w:before="40" w:line="240" w:lineRule="auto"/>
            </w:pPr>
            <w:r>
              <w:rPr>
                <w:rFonts w:ascii="Times New Roman" w:hAnsi="Times New Roman" w:eastAsia="Times New Roman"/>
                <w:b w:val="0"/>
                <w:i w:val="0"/>
                <w:sz w:val="18"/>
              </w:rPr>
              <w:t>5.10</w:t>
            </w:r>
          </w:p>
        </w:tc>
        <w:tc>
          <w:tcPr>
            <w:tcW w:type="dxa" w:w="1337"/>
          </w:tcPr>
          <w:p>
            <w:pPr>
              <w:spacing w:after="40" w:before="40" w:line="240" w:lineRule="auto"/>
            </w:pPr>
            <w:r>
              <w:rPr>
                <w:rFonts w:ascii="Times New Roman" w:hAnsi="Times New Roman" w:eastAsia="Times New Roman"/>
                <w:b w:val="0"/>
                <w:i w:val="0"/>
                <w:sz w:val="18"/>
              </w:rPr>
              <w:t>4.57</w:t>
            </w:r>
          </w:p>
        </w:tc>
        <w:tc>
          <w:tcPr>
            <w:tcW w:type="dxa" w:w="1337"/>
          </w:tcPr>
          <w:p>
            <w:pPr>
              <w:spacing w:after="40" w:before="40" w:line="240" w:lineRule="auto"/>
            </w:pPr>
            <w:r>
              <w:rPr>
                <w:rFonts w:ascii="Times New Roman" w:hAnsi="Times New Roman" w:eastAsia="Times New Roman"/>
                <w:b w:val="0"/>
                <w:i w:val="0"/>
                <w:sz w:val="18"/>
              </w:rPr>
              <w:t>-8.0</w:t>
            </w:r>
          </w:p>
        </w:tc>
        <w:tc>
          <w:tcPr>
            <w:tcW w:type="dxa" w:w="1337"/>
          </w:tcPr>
          <w:p>
            <w:pPr>
              <w:spacing w:after="40" w:before="40" w:line="240" w:lineRule="auto"/>
            </w:pPr>
            <w:r>
              <w:rPr>
                <w:rFonts w:ascii="Times New Roman" w:hAnsi="Times New Roman" w:eastAsia="Times New Roman"/>
                <w:b w:val="0"/>
                <w:i w:val="0"/>
                <w:sz w:val="18"/>
              </w:rPr>
              <w:t>16.6</w:t>
            </w:r>
          </w:p>
        </w:tc>
        <w:tc>
          <w:tcPr>
            <w:tcW w:type="dxa" w:w="1337"/>
          </w:tcPr>
          <w:p>
            <w:pPr>
              <w:spacing w:after="40" w:before="40" w:line="240" w:lineRule="auto"/>
            </w:pPr>
            <w:r>
              <w:rPr>
                <w:rFonts w:ascii="Times New Roman" w:hAnsi="Times New Roman" w:eastAsia="Times New Roman"/>
                <w:b w:val="0"/>
                <w:i w:val="0"/>
                <w:sz w:val="18"/>
              </w:rPr>
              <w:t>-0.35</w:t>
            </w:r>
          </w:p>
        </w:tc>
        <w:tc>
          <w:tcPr>
            <w:tcW w:type="dxa" w:w="1337"/>
          </w:tcPr>
          <w:p>
            <w:pPr>
              <w:spacing w:after="40" w:before="40" w:line="240" w:lineRule="auto"/>
            </w:pPr>
            <w:r>
              <w:rPr>
                <w:rFonts w:ascii="Times New Roman" w:hAnsi="Times New Roman" w:eastAsia="Times New Roman"/>
                <w:b w:val="0"/>
                <w:i w:val="0"/>
                <w:sz w:val="18"/>
              </w:rPr>
              <w:t>0.21</w:t>
            </w:r>
          </w:p>
        </w:tc>
      </w:tr>
      <w:tr>
        <w:tc>
          <w:tcPr>
            <w:tcW w:type="dxa" w:w="1337"/>
          </w:tcPr>
          <w:p>
            <w:pPr>
              <w:spacing w:after="40" w:before="40" w:line="240" w:lineRule="auto"/>
            </w:pPr>
            <w:r>
              <w:rPr>
                <w:rFonts w:ascii="Times New Roman" w:hAnsi="Times New Roman" w:eastAsia="Times New Roman"/>
                <w:b w:val="0"/>
                <w:i w:val="0"/>
                <w:sz w:val="18"/>
              </w:rPr>
              <w:t>Decline_Listening</w:t>
            </w:r>
          </w:p>
        </w:tc>
        <w:tc>
          <w:tcPr>
            <w:tcW w:type="dxa" w:w="1337"/>
          </w:tcPr>
          <w:p>
            <w:pPr>
              <w:spacing w:after="40" w:before="40" w:line="240" w:lineRule="auto"/>
            </w:pPr>
            <w:r>
              <w:rPr>
                <w:rFonts w:ascii="Times New Roman" w:hAnsi="Times New Roman" w:eastAsia="Times New Roman"/>
                <w:b w:val="0"/>
                <w:i w:val="0"/>
                <w:sz w:val="18"/>
              </w:rPr>
              <w:t>3.55</w:t>
            </w:r>
          </w:p>
        </w:tc>
        <w:tc>
          <w:tcPr>
            <w:tcW w:type="dxa" w:w="1337"/>
          </w:tcPr>
          <w:p>
            <w:pPr>
              <w:spacing w:after="40" w:before="40" w:line="240" w:lineRule="auto"/>
            </w:pPr>
            <w:r>
              <w:rPr>
                <w:rFonts w:ascii="Times New Roman" w:hAnsi="Times New Roman" w:eastAsia="Times New Roman"/>
                <w:b w:val="0"/>
                <w:i w:val="0"/>
                <w:sz w:val="18"/>
              </w:rPr>
              <w:t>4.11</w:t>
            </w:r>
          </w:p>
        </w:tc>
        <w:tc>
          <w:tcPr>
            <w:tcW w:type="dxa" w:w="1337"/>
          </w:tcPr>
          <w:p>
            <w:pPr>
              <w:spacing w:after="40" w:before="40" w:line="240" w:lineRule="auto"/>
            </w:pPr>
            <w:r>
              <w:rPr>
                <w:rFonts w:ascii="Times New Roman" w:hAnsi="Times New Roman" w:eastAsia="Times New Roman"/>
                <w:b w:val="0"/>
                <w:i w:val="0"/>
                <w:sz w:val="18"/>
              </w:rPr>
              <w:t>-7.8</w:t>
            </w:r>
          </w:p>
        </w:tc>
        <w:tc>
          <w:tcPr>
            <w:tcW w:type="dxa" w:w="1337"/>
          </w:tcPr>
          <w:p>
            <w:pPr>
              <w:spacing w:after="40" w:before="40" w:line="240" w:lineRule="auto"/>
            </w:pPr>
            <w:r>
              <w:rPr>
                <w:rFonts w:ascii="Times New Roman" w:hAnsi="Times New Roman" w:eastAsia="Times New Roman"/>
                <w:b w:val="0"/>
                <w:i w:val="0"/>
                <w:sz w:val="18"/>
              </w:rPr>
              <w:t>12.7</w:t>
            </w:r>
          </w:p>
        </w:tc>
        <w:tc>
          <w:tcPr>
            <w:tcW w:type="dxa" w:w="1337"/>
          </w:tcPr>
          <w:p>
            <w:pPr>
              <w:spacing w:after="40" w:before="40" w:line="240" w:lineRule="auto"/>
            </w:pPr>
            <w:r>
              <w:rPr>
                <w:rFonts w:ascii="Times New Roman" w:hAnsi="Times New Roman" w:eastAsia="Times New Roman"/>
                <w:b w:val="0"/>
                <w:i w:val="0"/>
                <w:sz w:val="18"/>
              </w:rPr>
              <w:t>-0.14</w:t>
            </w:r>
          </w:p>
        </w:tc>
        <w:tc>
          <w:tcPr>
            <w:tcW w:type="dxa" w:w="1337"/>
          </w:tcPr>
          <w:p>
            <w:pPr>
              <w:spacing w:after="40" w:before="40" w:line="240" w:lineRule="auto"/>
            </w:pPr>
            <w:r>
              <w:rPr>
                <w:rFonts w:ascii="Times New Roman" w:hAnsi="Times New Roman" w:eastAsia="Times New Roman"/>
                <w:b w:val="0"/>
                <w:i w:val="0"/>
                <w:sz w:val="18"/>
              </w:rPr>
              <w:t>-0.55</w:t>
            </w:r>
          </w:p>
        </w:tc>
      </w:tr>
      <w:tr>
        <w:tc>
          <w:tcPr>
            <w:tcW w:type="dxa" w:w="1337"/>
          </w:tcPr>
          <w:p>
            <w:pPr>
              <w:spacing w:after="40" w:before="40" w:line="240" w:lineRule="auto"/>
            </w:pPr>
            <w:r>
              <w:rPr>
                <w:rFonts w:ascii="Times New Roman" w:hAnsi="Times New Roman" w:eastAsia="Times New Roman"/>
                <w:b w:val="0"/>
                <w:i w:val="0"/>
                <w:sz w:val="18"/>
              </w:rPr>
              <w:t>Decline_Reading</w:t>
            </w:r>
          </w:p>
        </w:tc>
        <w:tc>
          <w:tcPr>
            <w:tcW w:type="dxa" w:w="1337"/>
          </w:tcPr>
          <w:p>
            <w:pPr>
              <w:spacing w:after="40" w:before="40" w:line="240" w:lineRule="auto"/>
            </w:pPr>
            <w:r>
              <w:rPr>
                <w:rFonts w:ascii="Times New Roman" w:hAnsi="Times New Roman" w:eastAsia="Times New Roman"/>
                <w:b w:val="0"/>
                <w:i w:val="0"/>
                <w:sz w:val="18"/>
              </w:rPr>
              <w:t>-0.41</w:t>
            </w:r>
          </w:p>
        </w:tc>
        <w:tc>
          <w:tcPr>
            <w:tcW w:type="dxa" w:w="1337"/>
          </w:tcPr>
          <w:p>
            <w:pPr>
              <w:spacing w:after="40" w:before="40" w:line="240" w:lineRule="auto"/>
            </w:pPr>
            <w:r>
              <w:rPr>
                <w:rFonts w:ascii="Times New Roman" w:hAnsi="Times New Roman" w:eastAsia="Times New Roman"/>
                <w:b w:val="0"/>
                <w:i w:val="0"/>
                <w:sz w:val="18"/>
              </w:rPr>
              <w:t>3.53</w:t>
            </w:r>
          </w:p>
        </w:tc>
        <w:tc>
          <w:tcPr>
            <w:tcW w:type="dxa" w:w="1337"/>
          </w:tcPr>
          <w:p>
            <w:pPr>
              <w:spacing w:after="40" w:before="40" w:line="240" w:lineRule="auto"/>
            </w:pPr>
            <w:r>
              <w:rPr>
                <w:rFonts w:ascii="Times New Roman" w:hAnsi="Times New Roman" w:eastAsia="Times New Roman"/>
                <w:b w:val="0"/>
                <w:i w:val="0"/>
                <w:sz w:val="18"/>
              </w:rPr>
              <w:t>-9.3</w:t>
            </w:r>
          </w:p>
        </w:tc>
        <w:tc>
          <w:tcPr>
            <w:tcW w:type="dxa" w:w="1337"/>
          </w:tcPr>
          <w:p>
            <w:pPr>
              <w:spacing w:after="40" w:before="40" w:line="240" w:lineRule="auto"/>
            </w:pPr>
            <w:r>
              <w:rPr>
                <w:rFonts w:ascii="Times New Roman" w:hAnsi="Times New Roman" w:eastAsia="Times New Roman"/>
                <w:b w:val="0"/>
                <w:i w:val="0"/>
                <w:sz w:val="18"/>
              </w:rPr>
              <w:t>8.6</w:t>
            </w:r>
          </w:p>
        </w:tc>
        <w:tc>
          <w:tcPr>
            <w:tcW w:type="dxa" w:w="1337"/>
          </w:tcPr>
          <w:p>
            <w:pPr>
              <w:spacing w:after="40" w:before="40" w:line="240" w:lineRule="auto"/>
            </w:pPr>
            <w:r>
              <w:rPr>
                <w:rFonts w:ascii="Times New Roman" w:hAnsi="Times New Roman" w:eastAsia="Times New Roman"/>
                <w:b w:val="0"/>
                <w:i w:val="0"/>
                <w:sz w:val="18"/>
              </w:rPr>
              <w:t>-0.29</w:t>
            </w:r>
          </w:p>
        </w:tc>
        <w:tc>
          <w:tcPr>
            <w:tcW w:type="dxa" w:w="1337"/>
          </w:tcPr>
          <w:p>
            <w:pPr>
              <w:spacing w:after="40" w:before="40" w:line="240" w:lineRule="auto"/>
            </w:pPr>
            <w:r>
              <w:rPr>
                <w:rFonts w:ascii="Times New Roman" w:hAnsi="Times New Roman" w:eastAsia="Times New Roman"/>
                <w:b w:val="0"/>
                <w:i w:val="0"/>
                <w:sz w:val="18"/>
              </w:rPr>
              <w:t>-0.19</w:t>
            </w:r>
          </w:p>
        </w:tc>
      </w:tr>
      <w:tr>
        <w:tc>
          <w:tcPr>
            <w:tcW w:type="dxa" w:w="1337"/>
          </w:tcPr>
          <w:p>
            <w:pPr>
              <w:spacing w:after="40" w:before="40" w:line="240" w:lineRule="auto"/>
            </w:pPr>
            <w:r>
              <w:rPr>
                <w:rFonts w:ascii="Times New Roman" w:hAnsi="Times New Roman" w:eastAsia="Times New Roman"/>
                <w:b w:val="0"/>
                <w:i w:val="0"/>
                <w:sz w:val="18"/>
              </w:rPr>
              <w:t>Decline_Writing</w:t>
            </w:r>
          </w:p>
        </w:tc>
        <w:tc>
          <w:tcPr>
            <w:tcW w:type="dxa" w:w="1337"/>
          </w:tcPr>
          <w:p>
            <w:pPr>
              <w:spacing w:after="40" w:before="40" w:line="240" w:lineRule="auto"/>
            </w:pPr>
            <w:r>
              <w:rPr>
                <w:rFonts w:ascii="Times New Roman" w:hAnsi="Times New Roman" w:eastAsia="Times New Roman"/>
                <w:b w:val="0"/>
                <w:i w:val="0"/>
                <w:sz w:val="18"/>
              </w:rPr>
              <w:t>-0.35</w:t>
            </w:r>
          </w:p>
        </w:tc>
        <w:tc>
          <w:tcPr>
            <w:tcW w:type="dxa" w:w="1337"/>
          </w:tcPr>
          <w:p>
            <w:pPr>
              <w:spacing w:after="40" w:before="40" w:line="240" w:lineRule="auto"/>
            </w:pPr>
            <w:r>
              <w:rPr>
                <w:rFonts w:ascii="Times New Roman" w:hAnsi="Times New Roman" w:eastAsia="Times New Roman"/>
                <w:b w:val="0"/>
                <w:i w:val="0"/>
                <w:sz w:val="18"/>
              </w:rPr>
              <w:t>4.10</w:t>
            </w:r>
          </w:p>
        </w:tc>
        <w:tc>
          <w:tcPr>
            <w:tcW w:type="dxa" w:w="1337"/>
          </w:tcPr>
          <w:p>
            <w:pPr>
              <w:spacing w:after="40" w:before="40" w:line="240" w:lineRule="auto"/>
            </w:pPr>
            <w:r>
              <w:rPr>
                <w:rFonts w:ascii="Times New Roman" w:hAnsi="Times New Roman" w:eastAsia="Times New Roman"/>
                <w:b w:val="0"/>
                <w:i w:val="0"/>
                <w:sz w:val="18"/>
              </w:rPr>
              <w:t>-11.8</w:t>
            </w:r>
          </w:p>
        </w:tc>
        <w:tc>
          <w:tcPr>
            <w:tcW w:type="dxa" w:w="1337"/>
          </w:tcPr>
          <w:p>
            <w:pPr>
              <w:spacing w:after="40" w:before="40" w:line="240" w:lineRule="auto"/>
            </w:pPr>
            <w:r>
              <w:rPr>
                <w:rFonts w:ascii="Times New Roman" w:hAnsi="Times New Roman" w:eastAsia="Times New Roman"/>
                <w:b w:val="0"/>
                <w:i w:val="0"/>
                <w:sz w:val="18"/>
              </w:rPr>
              <w:t>10.1</w:t>
            </w:r>
          </w:p>
        </w:tc>
        <w:tc>
          <w:tcPr>
            <w:tcW w:type="dxa" w:w="1337"/>
          </w:tcPr>
          <w:p>
            <w:pPr>
              <w:spacing w:after="40" w:before="40" w:line="240" w:lineRule="auto"/>
            </w:pPr>
            <w:r>
              <w:rPr>
                <w:rFonts w:ascii="Times New Roman" w:hAnsi="Times New Roman" w:eastAsia="Times New Roman"/>
                <w:b w:val="0"/>
                <w:i w:val="0"/>
                <w:sz w:val="18"/>
              </w:rPr>
              <w:t>-0.09</w:t>
            </w:r>
          </w:p>
        </w:tc>
        <w:tc>
          <w:tcPr>
            <w:tcW w:type="dxa" w:w="1337"/>
          </w:tcPr>
          <w:p>
            <w:pPr>
              <w:spacing w:after="40" w:before="40" w:line="240" w:lineRule="auto"/>
            </w:pPr>
            <w:r>
              <w:rPr>
                <w:rFonts w:ascii="Times New Roman" w:hAnsi="Times New Roman" w:eastAsia="Times New Roman"/>
                <w:b w:val="0"/>
                <w:i w:val="0"/>
                <w:sz w:val="18"/>
              </w:rPr>
              <w:t>0.29</w:t>
            </w:r>
          </w:p>
        </w:tc>
      </w:tr>
      <w:tr>
        <w:tc>
          <w:tcPr>
            <w:tcW w:type="dxa" w:w="1337"/>
          </w:tcPr>
          <w:p>
            <w:pPr>
              <w:spacing w:after="40" w:before="40" w:line="240" w:lineRule="auto"/>
            </w:pPr>
            <w:r>
              <w:rPr>
                <w:rFonts w:ascii="Times New Roman" w:hAnsi="Times New Roman" w:eastAsia="Times New Roman"/>
                <w:b w:val="0"/>
                <w:i w:val="0"/>
                <w:sz w:val="18"/>
              </w:rPr>
              <w:t>Underrating_Gap</w:t>
            </w:r>
          </w:p>
        </w:tc>
        <w:tc>
          <w:tcPr>
            <w:tcW w:type="dxa" w:w="1337"/>
          </w:tcPr>
          <w:p>
            <w:pPr>
              <w:spacing w:after="40" w:before="40" w:line="240" w:lineRule="auto"/>
            </w:pPr>
            <w:r>
              <w:rPr>
                <w:rFonts w:ascii="Times New Roman" w:hAnsi="Times New Roman" w:eastAsia="Times New Roman"/>
                <w:b w:val="0"/>
                <w:i w:val="0"/>
                <w:sz w:val="18"/>
              </w:rPr>
              <w:t>9.03</w:t>
            </w:r>
          </w:p>
        </w:tc>
        <w:tc>
          <w:tcPr>
            <w:tcW w:type="dxa" w:w="1337"/>
          </w:tcPr>
          <w:p>
            <w:pPr>
              <w:spacing w:after="40" w:before="40" w:line="240" w:lineRule="auto"/>
            </w:pPr>
            <w:r>
              <w:rPr>
                <w:rFonts w:ascii="Times New Roman" w:hAnsi="Times New Roman" w:eastAsia="Times New Roman"/>
                <w:b w:val="0"/>
                <w:i w:val="0"/>
                <w:sz w:val="18"/>
              </w:rPr>
              <w:t>3.36</w:t>
            </w:r>
          </w:p>
        </w:tc>
        <w:tc>
          <w:tcPr>
            <w:tcW w:type="dxa" w:w="1337"/>
          </w:tcPr>
          <w:p>
            <w:pPr>
              <w:spacing w:after="40" w:before="40" w:line="240" w:lineRule="auto"/>
            </w:pPr>
            <w:r>
              <w:rPr>
                <w:rFonts w:ascii="Times New Roman" w:hAnsi="Times New Roman" w:eastAsia="Times New Roman"/>
                <w:b w:val="0"/>
                <w:i w:val="0"/>
                <w:sz w:val="18"/>
              </w:rPr>
              <w:t>2.5</w:t>
            </w:r>
          </w:p>
        </w:tc>
        <w:tc>
          <w:tcPr>
            <w:tcW w:type="dxa" w:w="1337"/>
          </w:tcPr>
          <w:p>
            <w:pPr>
              <w:spacing w:after="40" w:before="40" w:line="240" w:lineRule="auto"/>
            </w:pPr>
            <w:r>
              <w:rPr>
                <w:rFonts w:ascii="Times New Roman" w:hAnsi="Times New Roman" w:eastAsia="Times New Roman"/>
                <w:b w:val="0"/>
                <w:i w:val="0"/>
                <w:sz w:val="18"/>
              </w:rPr>
              <w:t>16.2</w:t>
            </w:r>
          </w:p>
        </w:tc>
        <w:tc>
          <w:tcPr>
            <w:tcW w:type="dxa" w:w="1337"/>
          </w:tcPr>
          <w:p>
            <w:pPr>
              <w:spacing w:after="40" w:before="40" w:line="240" w:lineRule="auto"/>
            </w:pPr>
            <w:r>
              <w:rPr>
                <w:rFonts w:ascii="Times New Roman" w:hAnsi="Times New Roman" w:eastAsia="Times New Roman"/>
                <w:b w:val="0"/>
                <w:i w:val="0"/>
                <w:sz w:val="18"/>
              </w:rPr>
              <w:t>0.15</w:t>
            </w:r>
          </w:p>
        </w:tc>
        <w:tc>
          <w:tcPr>
            <w:tcW w:type="dxa" w:w="1337"/>
          </w:tcPr>
          <w:p>
            <w:pPr>
              <w:spacing w:after="40" w:before="40" w:line="240" w:lineRule="auto"/>
            </w:pPr>
            <w:r>
              <w:rPr>
                <w:rFonts w:ascii="Times New Roman" w:hAnsi="Times New Roman" w:eastAsia="Times New Roman"/>
                <w:b w:val="0"/>
                <w:i w:val="0"/>
                <w:sz w:val="18"/>
              </w:rPr>
              <w:t>-0.79</w:t>
            </w:r>
          </w:p>
        </w:tc>
      </w:tr>
      <w:tr>
        <w:tc>
          <w:tcPr>
            <w:tcW w:type="dxa" w:w="1337"/>
          </w:tcPr>
          <w:p>
            <w:pPr>
              <w:spacing w:after="40" w:before="40" w:line="240" w:lineRule="auto"/>
            </w:pPr>
            <w:r>
              <w:rPr>
                <w:rFonts w:ascii="Times New Roman" w:hAnsi="Times New Roman" w:eastAsia="Times New Roman"/>
                <w:b w:val="0"/>
                <w:i w:val="0"/>
                <w:sz w:val="18"/>
              </w:rPr>
              <w:t>TL_percent</w:t>
            </w:r>
          </w:p>
        </w:tc>
        <w:tc>
          <w:tcPr>
            <w:tcW w:type="dxa" w:w="1337"/>
          </w:tcPr>
          <w:p>
            <w:pPr>
              <w:spacing w:after="40" w:before="40" w:line="240" w:lineRule="auto"/>
            </w:pPr>
            <w:r>
              <w:rPr>
                <w:rFonts w:ascii="Times New Roman" w:hAnsi="Times New Roman" w:eastAsia="Times New Roman"/>
                <w:b w:val="0"/>
                <w:i w:val="0"/>
                <w:sz w:val="18"/>
              </w:rPr>
              <w:t>36.53</w:t>
            </w:r>
          </w:p>
        </w:tc>
        <w:tc>
          <w:tcPr>
            <w:tcW w:type="dxa" w:w="1337"/>
          </w:tcPr>
          <w:p>
            <w:pPr>
              <w:spacing w:after="40" w:before="40" w:line="240" w:lineRule="auto"/>
            </w:pPr>
            <w:r>
              <w:rPr>
                <w:rFonts w:ascii="Times New Roman" w:hAnsi="Times New Roman" w:eastAsia="Times New Roman"/>
                <w:b w:val="0"/>
                <w:i w:val="0"/>
                <w:sz w:val="18"/>
              </w:rPr>
              <w:t>13.02</w:t>
            </w:r>
          </w:p>
        </w:tc>
        <w:tc>
          <w:tcPr>
            <w:tcW w:type="dxa" w:w="1337"/>
          </w:tcPr>
          <w:p>
            <w:pPr>
              <w:spacing w:after="40" w:before="40" w:line="240" w:lineRule="auto"/>
            </w:pPr>
            <w:r>
              <w:rPr>
                <w:rFonts w:ascii="Times New Roman" w:hAnsi="Times New Roman" w:eastAsia="Times New Roman"/>
                <w:b w:val="0"/>
                <w:i w:val="0"/>
                <w:sz w:val="18"/>
              </w:rPr>
              <w:t>12.0</w:t>
            </w:r>
          </w:p>
        </w:tc>
        <w:tc>
          <w:tcPr>
            <w:tcW w:type="dxa" w:w="1337"/>
          </w:tcPr>
          <w:p>
            <w:pPr>
              <w:spacing w:after="40" w:before="40" w:line="240" w:lineRule="auto"/>
            </w:pPr>
            <w:r>
              <w:rPr>
                <w:rFonts w:ascii="Times New Roman" w:hAnsi="Times New Roman" w:eastAsia="Times New Roman"/>
                <w:b w:val="0"/>
                <w:i w:val="0"/>
                <w:sz w:val="18"/>
              </w:rPr>
              <w:t>65.9</w:t>
            </w:r>
          </w:p>
        </w:tc>
        <w:tc>
          <w:tcPr>
            <w:tcW w:type="dxa" w:w="1337"/>
          </w:tcPr>
          <w:p>
            <w:pPr>
              <w:spacing w:after="40" w:before="40" w:line="240" w:lineRule="auto"/>
            </w:pPr>
            <w:r>
              <w:rPr>
                <w:rFonts w:ascii="Times New Roman" w:hAnsi="Times New Roman" w:eastAsia="Times New Roman"/>
                <w:b w:val="0"/>
                <w:i w:val="0"/>
                <w:sz w:val="18"/>
              </w:rPr>
              <w:t>-0.31</w:t>
            </w:r>
          </w:p>
        </w:tc>
        <w:tc>
          <w:tcPr>
            <w:tcW w:type="dxa" w:w="1337"/>
          </w:tcPr>
          <w:p>
            <w:pPr>
              <w:spacing w:after="40" w:before="40" w:line="240" w:lineRule="auto"/>
            </w:pPr>
            <w:r>
              <w:rPr>
                <w:rFonts w:ascii="Times New Roman" w:hAnsi="Times New Roman" w:eastAsia="Times New Roman"/>
                <w:b w:val="0"/>
                <w:i w:val="0"/>
                <w:sz w:val="18"/>
              </w:rPr>
              <w:t>-0.66</w:t>
            </w:r>
          </w:p>
        </w:tc>
      </w:tr>
      <w:tr>
        <w:tc>
          <w:tcPr>
            <w:tcW w:type="dxa" w:w="1337"/>
          </w:tcPr>
          <w:p>
            <w:pPr>
              <w:spacing w:after="40" w:before="40" w:line="240" w:lineRule="auto"/>
            </w:pPr>
            <w:r>
              <w:rPr>
                <w:rFonts w:ascii="Times New Roman" w:hAnsi="Times New Roman" w:eastAsia="Times New Roman"/>
                <w:b w:val="0"/>
                <w:i w:val="0"/>
                <w:sz w:val="18"/>
              </w:rPr>
              <w:t>PU_mean</w:t>
            </w:r>
          </w:p>
        </w:tc>
        <w:tc>
          <w:tcPr>
            <w:tcW w:type="dxa" w:w="1337"/>
          </w:tcPr>
          <w:p>
            <w:pPr>
              <w:spacing w:after="40" w:before="40" w:line="240" w:lineRule="auto"/>
            </w:pPr>
            <w:r>
              <w:rPr>
                <w:rFonts w:ascii="Times New Roman" w:hAnsi="Times New Roman" w:eastAsia="Times New Roman"/>
                <w:b w:val="0"/>
                <w:i w:val="0"/>
                <w:sz w:val="18"/>
              </w:rPr>
              <w:t>3.11</w:t>
            </w:r>
          </w:p>
        </w:tc>
        <w:tc>
          <w:tcPr>
            <w:tcW w:type="dxa" w:w="1337"/>
          </w:tcPr>
          <w:p>
            <w:pPr>
              <w:spacing w:after="40" w:before="40" w:line="240" w:lineRule="auto"/>
            </w:pPr>
            <w:r>
              <w:rPr>
                <w:rFonts w:ascii="Times New Roman" w:hAnsi="Times New Roman" w:eastAsia="Times New Roman"/>
                <w:b w:val="0"/>
                <w:i w:val="0"/>
                <w:sz w:val="18"/>
              </w:rPr>
              <w:t>0.79</w:t>
            </w:r>
          </w:p>
        </w:tc>
        <w:tc>
          <w:tcPr>
            <w:tcW w:type="dxa" w:w="1337"/>
          </w:tcPr>
          <w:p>
            <w:pPr>
              <w:spacing w:after="40" w:before="40" w:line="240" w:lineRule="auto"/>
            </w:pPr>
            <w:r>
              <w:rPr>
                <w:rFonts w:ascii="Times New Roman" w:hAnsi="Times New Roman" w:eastAsia="Times New Roman"/>
                <w:b w:val="0"/>
                <w:i w:val="0"/>
                <w:sz w:val="18"/>
              </w:rPr>
              <w:t>1.2</w:t>
            </w:r>
          </w:p>
        </w:tc>
        <w:tc>
          <w:tcPr>
            <w:tcW w:type="dxa" w:w="1337"/>
          </w:tcPr>
          <w:p>
            <w:pPr>
              <w:spacing w:after="40" w:before="40" w:line="240" w:lineRule="auto"/>
            </w:pPr>
            <w:r>
              <w:rPr>
                <w:rFonts w:ascii="Times New Roman" w:hAnsi="Times New Roman" w:eastAsia="Times New Roman"/>
                <w:b w:val="0"/>
                <w:i w:val="0"/>
                <w:sz w:val="18"/>
              </w:rPr>
              <w:t>4.8</w:t>
            </w:r>
          </w:p>
        </w:tc>
        <w:tc>
          <w:tcPr>
            <w:tcW w:type="dxa" w:w="1337"/>
          </w:tcPr>
          <w:p>
            <w:pPr>
              <w:spacing w:after="40" w:before="40" w:line="240" w:lineRule="auto"/>
            </w:pPr>
            <w:r>
              <w:rPr>
                <w:rFonts w:ascii="Times New Roman" w:hAnsi="Times New Roman" w:eastAsia="Times New Roman"/>
                <w:b w:val="0"/>
                <w:i w:val="0"/>
                <w:sz w:val="18"/>
              </w:rPr>
              <w:t>0.04</w:t>
            </w:r>
          </w:p>
        </w:tc>
        <w:tc>
          <w:tcPr>
            <w:tcW w:type="dxa" w:w="1337"/>
          </w:tcPr>
          <w:p>
            <w:pPr>
              <w:spacing w:after="40" w:before="40" w:line="240" w:lineRule="auto"/>
            </w:pPr>
            <w:r>
              <w:rPr>
                <w:rFonts w:ascii="Times New Roman" w:hAnsi="Times New Roman" w:eastAsia="Times New Roman"/>
                <w:b w:val="0"/>
                <w:i w:val="0"/>
                <w:sz w:val="18"/>
              </w:rPr>
              <w:t>-0.45</w:t>
            </w:r>
          </w:p>
        </w:tc>
      </w:tr>
      <w:tr>
        <w:tc>
          <w:tcPr>
            <w:tcW w:type="dxa" w:w="1337"/>
          </w:tcPr>
          <w:p>
            <w:pPr>
              <w:spacing w:after="40" w:before="40" w:line="240" w:lineRule="auto"/>
            </w:pPr>
            <w:r>
              <w:rPr>
                <w:rFonts w:ascii="Times New Roman" w:hAnsi="Times New Roman" w:eastAsia="Times New Roman"/>
                <w:b w:val="0"/>
                <w:i w:val="0"/>
                <w:sz w:val="18"/>
              </w:rPr>
              <w:t>EAP_mean</w:t>
            </w:r>
          </w:p>
        </w:tc>
        <w:tc>
          <w:tcPr>
            <w:tcW w:type="dxa" w:w="1337"/>
          </w:tcPr>
          <w:p>
            <w:pPr>
              <w:spacing w:after="40" w:before="40" w:line="240" w:lineRule="auto"/>
            </w:pPr>
            <w:r>
              <w:rPr>
                <w:rFonts w:ascii="Times New Roman" w:hAnsi="Times New Roman" w:eastAsia="Times New Roman"/>
                <w:b w:val="0"/>
                <w:i w:val="0"/>
                <w:sz w:val="18"/>
              </w:rPr>
              <w:t>2.86</w:t>
            </w:r>
          </w:p>
        </w:tc>
        <w:tc>
          <w:tcPr>
            <w:tcW w:type="dxa" w:w="1337"/>
          </w:tcPr>
          <w:p>
            <w:pPr>
              <w:spacing w:after="40" w:before="40" w:line="240" w:lineRule="auto"/>
            </w:pPr>
            <w:r>
              <w:rPr>
                <w:rFonts w:ascii="Times New Roman" w:hAnsi="Times New Roman" w:eastAsia="Times New Roman"/>
                <w:b w:val="0"/>
                <w:i w:val="0"/>
                <w:sz w:val="18"/>
              </w:rPr>
              <w:t>0.79</w:t>
            </w:r>
          </w:p>
        </w:tc>
        <w:tc>
          <w:tcPr>
            <w:tcW w:type="dxa" w:w="1337"/>
          </w:tcPr>
          <w:p>
            <w:pPr>
              <w:spacing w:after="40" w:before="40" w:line="240" w:lineRule="auto"/>
            </w:pPr>
            <w:r>
              <w:rPr>
                <w:rFonts w:ascii="Times New Roman" w:hAnsi="Times New Roman" w:eastAsia="Times New Roman"/>
                <w:b w:val="0"/>
                <w:i w:val="0"/>
                <w:sz w:val="18"/>
              </w:rPr>
              <w:t>1.0</w:t>
            </w:r>
          </w:p>
        </w:tc>
        <w:tc>
          <w:tcPr>
            <w:tcW w:type="dxa" w:w="1337"/>
          </w:tcPr>
          <w:p>
            <w:pPr>
              <w:spacing w:after="40" w:before="40" w:line="240" w:lineRule="auto"/>
            </w:pPr>
            <w:r>
              <w:rPr>
                <w:rFonts w:ascii="Times New Roman" w:hAnsi="Times New Roman" w:eastAsia="Times New Roman"/>
                <w:b w:val="0"/>
                <w:i w:val="0"/>
                <w:sz w:val="18"/>
              </w:rPr>
              <w:t>4.6</w:t>
            </w:r>
          </w:p>
        </w:tc>
        <w:tc>
          <w:tcPr>
            <w:tcW w:type="dxa" w:w="1337"/>
          </w:tcPr>
          <w:p>
            <w:pPr>
              <w:spacing w:after="40" w:before="40" w:line="240" w:lineRule="auto"/>
            </w:pPr>
            <w:r>
              <w:rPr>
                <w:rFonts w:ascii="Times New Roman" w:hAnsi="Times New Roman" w:eastAsia="Times New Roman"/>
                <w:b w:val="0"/>
                <w:i w:val="0"/>
                <w:sz w:val="18"/>
              </w:rPr>
              <w:t>0.15</w:t>
            </w:r>
          </w:p>
        </w:tc>
        <w:tc>
          <w:tcPr>
            <w:tcW w:type="dxa" w:w="1337"/>
          </w:tcPr>
          <w:p>
            <w:pPr>
              <w:spacing w:after="40" w:before="40" w:line="240" w:lineRule="auto"/>
            </w:pPr>
            <w:r>
              <w:rPr>
                <w:rFonts w:ascii="Times New Roman" w:hAnsi="Times New Roman" w:eastAsia="Times New Roman"/>
                <w:b w:val="0"/>
                <w:i w:val="0"/>
                <w:sz w:val="18"/>
              </w:rPr>
              <w:t>-0.46</w:t>
            </w:r>
          </w:p>
        </w:tc>
      </w:tr>
      <w:tr>
        <w:tc>
          <w:tcPr>
            <w:tcW w:type="dxa" w:w="1337"/>
          </w:tcPr>
          <w:p>
            <w:pPr>
              <w:spacing w:after="40" w:before="40" w:line="240" w:lineRule="auto"/>
            </w:pPr>
            <w:r>
              <w:rPr>
                <w:rFonts w:ascii="Times New Roman" w:hAnsi="Times New Roman" w:eastAsia="Times New Roman"/>
                <w:b w:val="0"/>
                <w:i w:val="0"/>
                <w:sz w:val="18"/>
              </w:rPr>
              <w:t>WTC_mean</w:t>
            </w:r>
          </w:p>
        </w:tc>
        <w:tc>
          <w:tcPr>
            <w:tcW w:type="dxa" w:w="1337"/>
          </w:tcPr>
          <w:p>
            <w:pPr>
              <w:spacing w:after="40" w:before="40" w:line="240" w:lineRule="auto"/>
            </w:pPr>
            <w:r>
              <w:rPr>
                <w:rFonts w:ascii="Times New Roman" w:hAnsi="Times New Roman" w:eastAsia="Times New Roman"/>
                <w:b w:val="0"/>
                <w:i w:val="0"/>
                <w:sz w:val="18"/>
              </w:rPr>
              <w:t>3.83</w:t>
            </w:r>
          </w:p>
        </w:tc>
        <w:tc>
          <w:tcPr>
            <w:tcW w:type="dxa" w:w="1337"/>
          </w:tcPr>
          <w:p>
            <w:pPr>
              <w:spacing w:after="40" w:before="40" w:line="240" w:lineRule="auto"/>
            </w:pPr>
            <w:r>
              <w:rPr>
                <w:rFonts w:ascii="Times New Roman" w:hAnsi="Times New Roman" w:eastAsia="Times New Roman"/>
                <w:b w:val="0"/>
                <w:i w:val="0"/>
                <w:sz w:val="18"/>
              </w:rPr>
              <w:t>0.71</w:t>
            </w:r>
          </w:p>
        </w:tc>
        <w:tc>
          <w:tcPr>
            <w:tcW w:type="dxa" w:w="1337"/>
          </w:tcPr>
          <w:p>
            <w:pPr>
              <w:spacing w:after="40" w:before="40" w:line="240" w:lineRule="auto"/>
            </w:pPr>
            <w:r>
              <w:rPr>
                <w:rFonts w:ascii="Times New Roman" w:hAnsi="Times New Roman" w:eastAsia="Times New Roman"/>
                <w:b w:val="0"/>
                <w:i w:val="0"/>
                <w:sz w:val="18"/>
              </w:rPr>
              <w:t>2.2</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-0.27</w:t>
            </w:r>
          </w:p>
        </w:tc>
        <w:tc>
          <w:tcPr>
            <w:tcW w:type="dxa" w:w="1337"/>
          </w:tcPr>
          <w:p>
            <w:pPr>
              <w:spacing w:after="40" w:before="40" w:line="240" w:lineRule="auto"/>
            </w:pPr>
            <w:r>
              <w:rPr>
                <w:rFonts w:ascii="Times New Roman" w:hAnsi="Times New Roman" w:eastAsia="Times New Roman"/>
                <w:b w:val="0"/>
                <w:i w:val="0"/>
                <w:sz w:val="18"/>
              </w:rPr>
              <w:t>-0.66</w:t>
            </w:r>
          </w:p>
        </w:tc>
      </w:tr>
      <w:tr>
        <w:tc>
          <w:tcPr>
            <w:tcW w:type="dxa" w:w="1337"/>
          </w:tcPr>
          <w:p>
            <w:pPr>
              <w:spacing w:after="40" w:before="40" w:line="240" w:lineRule="auto"/>
            </w:pPr>
            <w:r>
              <w:rPr>
                <w:rFonts w:ascii="Times New Roman" w:hAnsi="Times New Roman" w:eastAsia="Times New Roman"/>
                <w:b w:val="0"/>
                <w:i w:val="0"/>
                <w:sz w:val="18"/>
              </w:rPr>
              <w:t>SE_mean</w:t>
            </w:r>
          </w:p>
        </w:tc>
        <w:tc>
          <w:tcPr>
            <w:tcW w:type="dxa" w:w="1337"/>
          </w:tcPr>
          <w:p>
            <w:pPr>
              <w:spacing w:after="40" w:before="40" w:line="240" w:lineRule="auto"/>
            </w:pPr>
            <w:r>
              <w:rPr>
                <w:rFonts w:ascii="Times New Roman" w:hAnsi="Times New Roman" w:eastAsia="Times New Roman"/>
                <w:b w:val="0"/>
                <w:i w:val="0"/>
                <w:sz w:val="18"/>
              </w:rPr>
              <w:t>3.80</w:t>
            </w:r>
          </w:p>
        </w:tc>
        <w:tc>
          <w:tcPr>
            <w:tcW w:type="dxa" w:w="1337"/>
          </w:tcPr>
          <w:p>
            <w:pPr>
              <w:spacing w:after="40" w:before="40" w:line="240" w:lineRule="auto"/>
            </w:pPr>
            <w:r>
              <w:rPr>
                <w:rFonts w:ascii="Times New Roman" w:hAnsi="Times New Roman" w:eastAsia="Times New Roman"/>
                <w:b w:val="0"/>
                <w:i w:val="0"/>
                <w:sz w:val="18"/>
              </w:rPr>
              <w:t>0.76</w:t>
            </w:r>
          </w:p>
        </w:tc>
        <w:tc>
          <w:tcPr>
            <w:tcW w:type="dxa" w:w="1337"/>
          </w:tcPr>
          <w:p>
            <w:pPr>
              <w:spacing w:after="40" w:before="40" w:line="240" w:lineRule="auto"/>
            </w:pPr>
            <w:r>
              <w:rPr>
                <w:rFonts w:ascii="Times New Roman" w:hAnsi="Times New Roman" w:eastAsia="Times New Roman"/>
                <w:b w:val="0"/>
                <w:i w:val="0"/>
                <w:sz w:val="18"/>
              </w:rPr>
              <w:t>2.2</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-0.35</w:t>
            </w:r>
          </w:p>
        </w:tc>
        <w:tc>
          <w:tcPr>
            <w:tcW w:type="dxa" w:w="1337"/>
          </w:tcPr>
          <w:p>
            <w:pPr>
              <w:spacing w:after="40" w:before="40" w:line="240" w:lineRule="auto"/>
            </w:pPr>
            <w:r>
              <w:rPr>
                <w:rFonts w:ascii="Times New Roman" w:hAnsi="Times New Roman" w:eastAsia="Times New Roman"/>
                <w:b w:val="0"/>
                <w:i w:val="0"/>
                <w:sz w:val="18"/>
              </w:rPr>
              <w:t>-0.92</w:t>
            </w:r>
          </w:p>
        </w:tc>
      </w:tr>
    </w:tbl>
    <w:p>
      <w:pPr>
        <w:spacing w:after="240" w:line="360" w:lineRule="auto"/>
        <w:jc w:val="both"/>
      </w:pPr>
      <w:r>
        <w:rPr>
          <w:rFonts w:ascii="Times New Roman" w:hAnsi="Times New Roman" w:eastAsia="Times New Roman"/>
          <w:b w:val="0"/>
          <w:i/>
          <w:sz w:val="18"/>
        </w:rPr>
        <w:t>Note. Decline_* = Pre − Post (positive = attrition; negative = gain). Kurtosis = excess kurtosis.</w:t>
      </w:r>
    </w:p>
    <w:p>
      <w:pPr>
        <w:pStyle w:val="Heading2"/>
        <w:spacing w:before="280" w:after="160"/>
      </w:pPr>
      <w:r>
        <w:rPr>
          <w:rFonts w:ascii="Times New Roman" w:hAnsi="Times New Roman" w:eastAsia="Times New Roman"/>
          <w:b/>
          <w:i w:val="0"/>
          <w:color w:val="1F4E79"/>
          <w:sz w:val="24"/>
        </w:rPr>
        <w:t>Reliability and validity of the institutional test</w:t>
      </w:r>
    </w:p>
    <w:p>
      <w:pPr>
        <w:spacing w:after="160" w:line="360" w:lineRule="auto"/>
        <w:ind w:firstLine="720"/>
        <w:jc w:val="both"/>
      </w:pPr>
      <w:r>
        <w:rPr>
          <w:rFonts w:ascii="Times New Roman" w:hAnsi="Times New Roman" w:eastAsia="Times New Roman"/>
          <w:b w:val="0"/>
          <w:i w:val="0"/>
          <w:sz w:val="22"/>
        </w:rPr>
        <w:t>Internal consistency was acceptable to high. Cronbach’s α for the eight Listening/Reading section scores was 0.871 at pretest and 0.865 at posttest. Questionnaire alphas were 0.885 (perceived underrating), 0.914 (translanguaging), 0.891 (lecturer EAP limitation), 0.859 (WTC), and 0.876 (self-efficacy). Inter-rater ICC(2,k) values for the official three-rater means were 0.954 / 0.972 for Writing and 0.961 / 0.974 for Speaking (pre/post).</w:t>
      </w:r>
    </w:p>
    <w:p>
      <w:pPr>
        <w:spacing w:after="160" w:line="360" w:lineRule="auto"/>
        <w:ind w:firstLine="720"/>
        <w:jc w:val="both"/>
      </w:pPr>
      <w:r>
        <w:rPr>
          <w:rFonts w:ascii="Times New Roman" w:hAnsi="Times New Roman" w:eastAsia="Times New Roman"/>
          <w:b w:val="0"/>
          <w:i w:val="0"/>
          <w:sz w:val="22"/>
        </w:rPr>
        <w:t>Concurrent validity against official IELTS Academic practice materials (n = 36) was r = 0.782 (p &lt;.001) for the overall score; skill correlations were Listening 0.759, Reading 0.766, Writing 0.738, and Speaking 0.854 (all p &lt; .001).</w:t>
      </w:r>
    </w:p>
    <w:p>
      <w:pPr>
        <w:pStyle w:val="Heading2"/>
        <w:spacing w:before="280" w:after="160"/>
      </w:pPr>
      <w:r>
        <w:rPr>
          <w:rFonts w:ascii="Times New Roman" w:hAnsi="Times New Roman" w:eastAsia="Times New Roman"/>
          <w:b/>
          <w:i w:val="0"/>
          <w:color w:val="1F4E79"/>
          <w:sz w:val="24"/>
        </w:rPr>
        <w:t>Pre–post proficiency change: oral–aural attrition</w:t>
      </w:r>
    </w:p>
    <w:p>
      <w:pPr>
        <w:spacing w:after="160" w:line="360" w:lineRule="auto"/>
        <w:ind w:firstLine="720"/>
        <w:jc w:val="both"/>
      </w:pPr>
      <w:r>
        <w:rPr>
          <w:rFonts w:ascii="Times New Roman" w:hAnsi="Times New Roman" w:eastAsia="Times New Roman"/>
          <w:b w:val="0"/>
          <w:i w:val="0"/>
          <w:sz w:val="22"/>
        </w:rPr>
        <w:t xml:space="preserve">Attrition was not uniform across skills. </w:t>
      </w:r>
      <w:r>
        <w:rPr>
          <w:rFonts w:ascii="Times New Roman" w:hAnsi="Times New Roman" w:eastAsia="Times New Roman"/>
          <w:b w:val="0"/>
          <w:i w:val="0"/>
          <w:sz w:val="22"/>
        </w:rPr>
        <w:t xml:space="preserve">Both oral–aural skills declined significantly: </w:t>
      </w:r>
      <w:r>
        <w:rPr>
          <w:rFonts w:ascii="Times New Roman" w:hAnsi="Times New Roman" w:eastAsia="Times New Roman"/>
          <w:b w:val="0"/>
          <w:i w:val="0"/>
          <w:sz w:val="22"/>
        </w:rPr>
        <w:t xml:space="preserve">Speaking (M_decline = 5.10, </w:t>
      </w:r>
      <w:r>
        <w:rPr>
          <w:rFonts w:ascii="Times New Roman" w:hAnsi="Times New Roman" w:eastAsia="Times New Roman"/>
          <w:b w:val="0"/>
          <w:i w:val="0"/>
          <w:sz w:val="22"/>
        </w:rPr>
        <w:t xml:space="preserve">t(119) = 12.21, p &lt;.001, d_z = 1.11) </w:t>
      </w:r>
      <w:r>
        <w:rPr>
          <w:rFonts w:ascii="Times New Roman" w:hAnsi="Times New Roman" w:eastAsia="Times New Roman"/>
          <w:b w:val="0"/>
          <w:i w:val="0"/>
          <w:sz w:val="22"/>
        </w:rPr>
        <w:t xml:space="preserve">and Listening (M = 3.55, p &lt;.001, d_z = 0.86). </w:t>
      </w:r>
      <w:r>
        <w:rPr>
          <w:rFonts w:ascii="Times New Roman" w:hAnsi="Times New Roman" w:eastAsia="Times New Roman"/>
          <w:b w:val="0"/>
          <w:i w:val="0"/>
          <w:sz w:val="22"/>
        </w:rPr>
        <w:t xml:space="preserve">This pattern is consistent with under-exposure to verbal interaction in EMI classrooms, </w:t>
      </w:r>
      <w:r>
        <w:rPr>
          <w:rFonts w:ascii="Times New Roman" w:hAnsi="Times New Roman" w:eastAsia="Times New Roman"/>
          <w:b w:val="0"/>
          <w:i w:val="0"/>
          <w:sz w:val="22"/>
        </w:rPr>
        <w:t xml:space="preserve">arising from lecturers’ own EAP limitations and from underrating students’ English (Golem). </w:t>
      </w:r>
      <w:r>
        <w:rPr>
          <w:rFonts w:ascii="Times New Roman" w:hAnsi="Times New Roman" w:eastAsia="Times New Roman"/>
          <w:b w:val="0"/>
          <w:i w:val="0"/>
          <w:sz w:val="22"/>
        </w:rPr>
        <w:t xml:space="preserve">Reading showed no statistically significant decline (M = -0.41, p .211), </w:t>
      </w:r>
      <w:r>
        <w:rPr>
          <w:rFonts w:ascii="Times New Roman" w:hAnsi="Times New Roman" w:eastAsia="Times New Roman"/>
          <w:b w:val="0"/>
          <w:i w:val="0"/>
          <w:sz w:val="22"/>
        </w:rPr>
        <w:t xml:space="preserve">with a slight numerical gain consistent with continued exposure to academic written texts; </w:t>
      </w:r>
      <w:r>
        <w:rPr>
          <w:rFonts w:ascii="Times New Roman" w:hAnsi="Times New Roman" w:eastAsia="Times New Roman"/>
          <w:b w:val="0"/>
          <w:i w:val="0"/>
          <w:sz w:val="22"/>
        </w:rPr>
        <w:t xml:space="preserve">Writing likewise showed no significant decline (M = -0.35, p .353), </w:t>
      </w:r>
      <w:r>
        <w:rPr>
          <w:rFonts w:ascii="Times New Roman" w:hAnsi="Times New Roman" w:eastAsia="Times New Roman"/>
          <w:b w:val="0"/>
          <w:i w:val="0"/>
          <w:sz w:val="22"/>
        </w:rPr>
        <w:t xml:space="preserve">consistent with lab reports and written assignments. </w:t>
      </w:r>
      <w:r>
        <w:rPr>
          <w:rFonts w:ascii="Times New Roman" w:hAnsi="Times New Roman" w:eastAsia="Times New Roman"/>
          <w:b w:val="0"/>
          <w:i w:val="0"/>
          <w:sz w:val="22"/>
        </w:rPr>
        <w:t>The oral–aural drop is therefore the attrition story later linked to translanguaging and expectancy.</w:t>
      </w:r>
    </w:p>
    <w:p>
      <w:pPr>
        <w:spacing w:before="200" w:after="80"/>
        <w:ind w:firstLine="0"/>
        <w:jc w:val="left"/>
      </w:pPr>
      <w:r>
        <w:rPr>
          <w:rFonts w:ascii="Times New Roman" w:hAnsi="Times New Roman" w:eastAsia="Times New Roman"/>
          <w:b/>
          <w:i/>
          <w:sz w:val="20"/>
        </w:rPr>
        <w:t>Table 2. Paired pre–post comparisons by skill (N = 120)</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40" w:before="40" w:line="240" w:lineRule="auto"/>
            </w:pPr>
            <w:r>
              <w:rPr>
                <w:rFonts w:ascii="Times New Roman" w:hAnsi="Times New Roman" w:eastAsia="Times New Roman"/>
                <w:b w:val="0"/>
                <w:i w:val="0"/>
                <w:sz w:val="18"/>
              </w:rPr>
              <w:t>Skill</w:t>
            </w:r>
          </w:p>
        </w:tc>
        <w:tc>
          <w:tcPr>
            <w:tcW w:type="dxa" w:w="1170"/>
          </w:tcPr>
          <w:p>
            <w:pPr>
              <w:spacing w:after="40" w:before="40" w:line="240" w:lineRule="auto"/>
            </w:pPr>
            <w:r>
              <w:rPr>
                <w:rFonts w:ascii="Times New Roman" w:hAnsi="Times New Roman" w:eastAsia="Times New Roman"/>
                <w:b w:val="0"/>
                <w:i w:val="0"/>
                <w:sz w:val="18"/>
              </w:rPr>
              <w:t>Pre M (SD)</w:t>
            </w:r>
          </w:p>
        </w:tc>
        <w:tc>
          <w:tcPr>
            <w:tcW w:type="dxa" w:w="1170"/>
          </w:tcPr>
          <w:p>
            <w:pPr>
              <w:spacing w:after="40" w:before="40" w:line="240" w:lineRule="auto"/>
            </w:pPr>
            <w:r>
              <w:rPr>
                <w:rFonts w:ascii="Times New Roman" w:hAnsi="Times New Roman" w:eastAsia="Times New Roman"/>
                <w:b w:val="0"/>
                <w:i w:val="0"/>
                <w:sz w:val="18"/>
              </w:rPr>
              <w:t>Post M (SD)</w:t>
            </w:r>
          </w:p>
        </w:tc>
        <w:tc>
          <w:tcPr>
            <w:tcW w:type="dxa" w:w="1170"/>
          </w:tcPr>
          <w:p>
            <w:pPr>
              <w:spacing w:after="40" w:before="40" w:line="240" w:lineRule="auto"/>
            </w:pPr>
            <w:r>
              <w:rPr>
                <w:rFonts w:ascii="Times New Roman" w:hAnsi="Times New Roman" w:eastAsia="Times New Roman"/>
                <w:b w:val="0"/>
                <w:i w:val="0"/>
                <w:sz w:val="18"/>
              </w:rPr>
              <w:t>M change</w:t>
            </w:r>
          </w:p>
        </w:tc>
        <w:tc>
          <w:tcPr>
            <w:tcW w:type="dxa" w:w="1170"/>
          </w:tcPr>
          <w:p>
            <w:pPr>
              <w:spacing w:after="40" w:before="40" w:line="240" w:lineRule="auto"/>
            </w:pPr>
            <w:r>
              <w:rPr>
                <w:rFonts w:ascii="Times New Roman" w:hAnsi="Times New Roman" w:eastAsia="Times New Roman"/>
                <w:b w:val="0"/>
                <w:i w:val="0"/>
                <w:sz w:val="18"/>
              </w:rPr>
              <w:t>t(119)</w:t>
            </w:r>
          </w:p>
        </w:tc>
        <w:tc>
          <w:tcPr>
            <w:tcW w:type="dxa" w:w="1170"/>
          </w:tcPr>
          <w:p>
            <w:pPr>
              <w:spacing w:after="40" w:before="40" w:line="240" w:lineRule="auto"/>
            </w:pPr>
            <w:r>
              <w:rPr>
                <w:rFonts w:ascii="Times New Roman" w:hAnsi="Times New Roman" w:eastAsia="Times New Roman"/>
                <w:b w:val="0"/>
                <w:i w:val="0"/>
                <w:sz w:val="18"/>
              </w:rPr>
              <w:t>p</w:t>
            </w:r>
          </w:p>
        </w:tc>
        <w:tc>
          <w:tcPr>
            <w:tcW w:type="dxa" w:w="1170"/>
          </w:tcPr>
          <w:p>
            <w:pPr>
              <w:spacing w:after="40" w:before="40" w:line="240" w:lineRule="auto"/>
            </w:pPr>
            <w:r>
              <w:rPr>
                <w:rFonts w:ascii="Times New Roman" w:hAnsi="Times New Roman" w:eastAsia="Times New Roman"/>
                <w:b w:val="0"/>
                <w:i w:val="0"/>
                <w:sz w:val="18"/>
              </w:rPr>
              <w:t>Wilcoxon p</w:t>
            </w:r>
          </w:p>
        </w:tc>
        <w:tc>
          <w:tcPr>
            <w:tcW w:type="dxa" w:w="1170"/>
          </w:tcPr>
          <w:p>
            <w:pPr>
              <w:spacing w:after="40" w:before="40" w:line="240" w:lineRule="auto"/>
            </w:pPr>
            <w:r>
              <w:rPr>
                <w:rFonts w:ascii="Times New Roman" w:hAnsi="Times New Roman" w:eastAsia="Times New Roman"/>
                <w:b w:val="0"/>
                <w:i w:val="0"/>
                <w:sz w:val="18"/>
              </w:rPr>
              <w:t>d_z</w:t>
            </w:r>
          </w:p>
        </w:tc>
      </w:tr>
      <w:tr>
        <w:tc>
          <w:tcPr>
            <w:tcW w:type="dxa" w:w="1170"/>
          </w:tcPr>
          <w:p>
            <w:pPr>
              <w:spacing w:after="40" w:before="40" w:line="240" w:lineRule="auto"/>
            </w:pPr>
            <w:r>
              <w:rPr>
                <w:rFonts w:ascii="Times New Roman" w:hAnsi="Times New Roman" w:eastAsia="Times New Roman"/>
                <w:b w:val="0"/>
                <w:i w:val="0"/>
                <w:sz w:val="18"/>
              </w:rPr>
              <w:t>Listening</w:t>
            </w:r>
          </w:p>
        </w:tc>
        <w:tc>
          <w:tcPr>
            <w:tcW w:type="dxa" w:w="1170"/>
          </w:tcPr>
          <w:p>
            <w:pPr>
              <w:spacing w:after="40" w:before="40" w:line="240" w:lineRule="auto"/>
            </w:pPr>
            <w:r>
              <w:rPr>
                <w:rFonts w:ascii="Times New Roman" w:hAnsi="Times New Roman" w:eastAsia="Times New Roman"/>
                <w:b w:val="0"/>
                <w:i w:val="0"/>
                <w:sz w:val="18"/>
              </w:rPr>
              <w:t>67.25 (5.24)</w:t>
            </w:r>
          </w:p>
        </w:tc>
        <w:tc>
          <w:tcPr>
            <w:tcW w:type="dxa" w:w="1170"/>
          </w:tcPr>
          <w:p>
            <w:pPr>
              <w:spacing w:after="40" w:before="40" w:line="240" w:lineRule="auto"/>
            </w:pPr>
            <w:r>
              <w:rPr>
                <w:rFonts w:ascii="Times New Roman" w:hAnsi="Times New Roman" w:eastAsia="Times New Roman"/>
                <w:b w:val="0"/>
                <w:i w:val="0"/>
                <w:sz w:val="18"/>
              </w:rPr>
              <w:t>63.70 (6.12)</w:t>
            </w:r>
          </w:p>
        </w:tc>
        <w:tc>
          <w:tcPr>
            <w:tcW w:type="dxa" w:w="1170"/>
          </w:tcPr>
          <w:p>
            <w:pPr>
              <w:spacing w:after="40" w:before="40" w:line="240" w:lineRule="auto"/>
            </w:pPr>
            <w:r>
              <w:rPr>
                <w:rFonts w:ascii="Times New Roman" w:hAnsi="Times New Roman" w:eastAsia="Times New Roman"/>
                <w:b w:val="0"/>
                <w:i w:val="0"/>
                <w:sz w:val="18"/>
              </w:rPr>
              <w:t>3.55</w:t>
            </w:r>
          </w:p>
        </w:tc>
        <w:tc>
          <w:tcPr>
            <w:tcW w:type="dxa" w:w="1170"/>
          </w:tcPr>
          <w:p>
            <w:pPr>
              <w:spacing w:after="40" w:before="40" w:line="240" w:lineRule="auto"/>
            </w:pPr>
            <w:r>
              <w:rPr>
                <w:rFonts w:ascii="Times New Roman" w:hAnsi="Times New Roman" w:eastAsia="Times New Roman"/>
                <w:b w:val="0"/>
                <w:i w:val="0"/>
                <w:sz w:val="18"/>
              </w:rPr>
              <w:t>9.46</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0.86</w:t>
            </w:r>
          </w:p>
        </w:tc>
      </w:tr>
      <w:tr>
        <w:tc>
          <w:tcPr>
            <w:tcW w:type="dxa" w:w="1170"/>
          </w:tcPr>
          <w:p>
            <w:pPr>
              <w:spacing w:after="40" w:before="40" w:line="240" w:lineRule="auto"/>
            </w:pPr>
            <w:r>
              <w:rPr>
                <w:rFonts w:ascii="Times New Roman" w:hAnsi="Times New Roman" w:eastAsia="Times New Roman"/>
                <w:b w:val="0"/>
                <w:i w:val="0"/>
                <w:sz w:val="18"/>
              </w:rPr>
              <w:t>Reading</w:t>
            </w:r>
          </w:p>
        </w:tc>
        <w:tc>
          <w:tcPr>
            <w:tcW w:type="dxa" w:w="1170"/>
          </w:tcPr>
          <w:p>
            <w:pPr>
              <w:spacing w:after="40" w:before="40" w:line="240" w:lineRule="auto"/>
            </w:pPr>
            <w:r>
              <w:rPr>
                <w:rFonts w:ascii="Times New Roman" w:hAnsi="Times New Roman" w:eastAsia="Times New Roman"/>
                <w:b w:val="0"/>
                <w:i w:val="0"/>
                <w:sz w:val="18"/>
              </w:rPr>
              <w:t>67.82 (4.86)</w:t>
            </w:r>
          </w:p>
        </w:tc>
        <w:tc>
          <w:tcPr>
            <w:tcW w:type="dxa" w:w="1170"/>
          </w:tcPr>
          <w:p>
            <w:pPr>
              <w:spacing w:after="40" w:before="40" w:line="240" w:lineRule="auto"/>
            </w:pPr>
            <w:r>
              <w:rPr>
                <w:rFonts w:ascii="Times New Roman" w:hAnsi="Times New Roman" w:eastAsia="Times New Roman"/>
                <w:b w:val="0"/>
                <w:i w:val="0"/>
                <w:sz w:val="18"/>
              </w:rPr>
              <w:t>68.23 (5.72)</w:t>
            </w:r>
          </w:p>
        </w:tc>
        <w:tc>
          <w:tcPr>
            <w:tcW w:type="dxa" w:w="1170"/>
          </w:tcPr>
          <w:p>
            <w:pPr>
              <w:spacing w:after="40" w:before="40" w:line="240" w:lineRule="auto"/>
            </w:pPr>
            <w:r>
              <w:rPr>
                <w:rFonts w:ascii="Times New Roman" w:hAnsi="Times New Roman" w:eastAsia="Times New Roman"/>
                <w:b w:val="0"/>
                <w:i w:val="0"/>
                <w:sz w:val="18"/>
              </w:rPr>
              <w:t>-0.41</w:t>
            </w:r>
          </w:p>
        </w:tc>
        <w:tc>
          <w:tcPr>
            <w:tcW w:type="dxa" w:w="1170"/>
          </w:tcPr>
          <w:p>
            <w:pPr>
              <w:spacing w:after="40" w:before="40" w:line="240" w:lineRule="auto"/>
            </w:pPr>
            <w:r>
              <w:rPr>
                <w:rFonts w:ascii="Times New Roman" w:hAnsi="Times New Roman" w:eastAsia="Times New Roman"/>
                <w:b w:val="0"/>
                <w:i w:val="0"/>
                <w:sz w:val="18"/>
              </w:rPr>
              <w:t>-1.26</w:t>
            </w:r>
          </w:p>
        </w:tc>
        <w:tc>
          <w:tcPr>
            <w:tcW w:type="dxa" w:w="1170"/>
          </w:tcPr>
          <w:p>
            <w:pPr>
              <w:spacing w:after="40" w:before="40" w:line="240" w:lineRule="auto"/>
            </w:pPr>
            <w:r>
              <w:rPr>
                <w:rFonts w:ascii="Times New Roman" w:hAnsi="Times New Roman" w:eastAsia="Times New Roman"/>
                <w:b w:val="0"/>
                <w:i w:val="0"/>
                <w:sz w:val="18"/>
              </w:rPr>
              <w:t>.211</w:t>
            </w:r>
          </w:p>
        </w:tc>
        <w:tc>
          <w:tcPr>
            <w:tcW w:type="dxa" w:w="1170"/>
          </w:tcPr>
          <w:p>
            <w:pPr>
              <w:spacing w:after="40" w:before="40" w:line="240" w:lineRule="auto"/>
            </w:pPr>
            <w:r>
              <w:rPr>
                <w:rFonts w:ascii="Times New Roman" w:hAnsi="Times New Roman" w:eastAsia="Times New Roman"/>
                <w:b w:val="0"/>
                <w:i w:val="0"/>
                <w:sz w:val="18"/>
              </w:rPr>
              <w:t>.381</w:t>
            </w:r>
          </w:p>
        </w:tc>
        <w:tc>
          <w:tcPr>
            <w:tcW w:type="dxa" w:w="1170"/>
          </w:tcPr>
          <w:p>
            <w:pPr>
              <w:spacing w:after="40" w:before="40" w:line="240" w:lineRule="auto"/>
            </w:pPr>
            <w:r>
              <w:rPr>
                <w:rFonts w:ascii="Times New Roman" w:hAnsi="Times New Roman" w:eastAsia="Times New Roman"/>
                <w:b w:val="0"/>
                <w:i w:val="0"/>
                <w:sz w:val="18"/>
              </w:rPr>
              <w:t>-0.11</w:t>
            </w:r>
          </w:p>
        </w:tc>
      </w:tr>
      <w:tr>
        <w:tc>
          <w:tcPr>
            <w:tcW w:type="dxa" w:w="1170"/>
          </w:tcPr>
          <w:p>
            <w:pPr>
              <w:spacing w:after="40" w:before="40" w:line="240" w:lineRule="auto"/>
            </w:pPr>
            <w:r>
              <w:rPr>
                <w:rFonts w:ascii="Times New Roman" w:hAnsi="Times New Roman" w:eastAsia="Times New Roman"/>
                <w:b w:val="0"/>
                <w:i w:val="0"/>
                <w:sz w:val="18"/>
              </w:rPr>
              <w:t>Writing</w:t>
            </w:r>
          </w:p>
        </w:tc>
        <w:tc>
          <w:tcPr>
            <w:tcW w:type="dxa" w:w="1170"/>
          </w:tcPr>
          <w:p>
            <w:pPr>
              <w:spacing w:after="40" w:before="40" w:line="240" w:lineRule="auto"/>
            </w:pPr>
            <w:r>
              <w:rPr>
                <w:rFonts w:ascii="Times New Roman" w:hAnsi="Times New Roman" w:eastAsia="Times New Roman"/>
                <w:b w:val="0"/>
                <w:i w:val="0"/>
                <w:sz w:val="18"/>
              </w:rPr>
              <w:t>66.34 (5.22)</w:t>
            </w:r>
          </w:p>
        </w:tc>
        <w:tc>
          <w:tcPr>
            <w:tcW w:type="dxa" w:w="1170"/>
          </w:tcPr>
          <w:p>
            <w:pPr>
              <w:spacing w:after="40" w:before="40" w:line="240" w:lineRule="auto"/>
            </w:pPr>
            <w:r>
              <w:rPr>
                <w:rFonts w:ascii="Times New Roman" w:hAnsi="Times New Roman" w:eastAsia="Times New Roman"/>
                <w:b w:val="0"/>
                <w:i w:val="0"/>
                <w:sz w:val="18"/>
              </w:rPr>
              <w:t>66.69 (6.51)</w:t>
            </w:r>
          </w:p>
        </w:tc>
        <w:tc>
          <w:tcPr>
            <w:tcW w:type="dxa" w:w="1170"/>
          </w:tcPr>
          <w:p>
            <w:pPr>
              <w:spacing w:after="40" w:before="40" w:line="240" w:lineRule="auto"/>
            </w:pPr>
            <w:r>
              <w:rPr>
                <w:rFonts w:ascii="Times New Roman" w:hAnsi="Times New Roman" w:eastAsia="Times New Roman"/>
                <w:b w:val="0"/>
                <w:i w:val="0"/>
                <w:sz w:val="18"/>
              </w:rPr>
              <w:t>-0.35</w:t>
            </w:r>
          </w:p>
        </w:tc>
        <w:tc>
          <w:tcPr>
            <w:tcW w:type="dxa" w:w="1170"/>
          </w:tcPr>
          <w:p>
            <w:pPr>
              <w:spacing w:after="40" w:before="40" w:line="240" w:lineRule="auto"/>
            </w:pPr>
            <w:r>
              <w:rPr>
                <w:rFonts w:ascii="Times New Roman" w:hAnsi="Times New Roman" w:eastAsia="Times New Roman"/>
                <w:b w:val="0"/>
                <w:i w:val="0"/>
                <w:sz w:val="18"/>
              </w:rPr>
              <w:t>-0.93</w:t>
            </w:r>
          </w:p>
        </w:tc>
        <w:tc>
          <w:tcPr>
            <w:tcW w:type="dxa" w:w="1170"/>
          </w:tcPr>
          <w:p>
            <w:pPr>
              <w:spacing w:after="40" w:before="40" w:line="240" w:lineRule="auto"/>
            </w:pPr>
            <w:r>
              <w:rPr>
                <w:rFonts w:ascii="Times New Roman" w:hAnsi="Times New Roman" w:eastAsia="Times New Roman"/>
                <w:b w:val="0"/>
                <w:i w:val="0"/>
                <w:sz w:val="18"/>
              </w:rPr>
              <w:t>.353</w:t>
            </w:r>
          </w:p>
        </w:tc>
        <w:tc>
          <w:tcPr>
            <w:tcW w:type="dxa" w:w="1170"/>
          </w:tcPr>
          <w:p>
            <w:pPr>
              <w:spacing w:after="40" w:before="40" w:line="240" w:lineRule="auto"/>
            </w:pPr>
            <w:r>
              <w:rPr>
                <w:rFonts w:ascii="Times New Roman" w:hAnsi="Times New Roman" w:eastAsia="Times New Roman"/>
                <w:b w:val="0"/>
                <w:i w:val="0"/>
                <w:sz w:val="18"/>
              </w:rPr>
              <w:t>.384</w:t>
            </w:r>
          </w:p>
        </w:tc>
        <w:tc>
          <w:tcPr>
            <w:tcW w:type="dxa" w:w="1170"/>
          </w:tcPr>
          <w:p>
            <w:pPr>
              <w:spacing w:after="40" w:before="40" w:line="240" w:lineRule="auto"/>
            </w:pPr>
            <w:r>
              <w:rPr>
                <w:rFonts w:ascii="Times New Roman" w:hAnsi="Times New Roman" w:eastAsia="Times New Roman"/>
                <w:b w:val="0"/>
                <w:i w:val="0"/>
                <w:sz w:val="18"/>
              </w:rPr>
              <w:t>-0.09</w:t>
            </w:r>
          </w:p>
        </w:tc>
      </w:tr>
      <w:tr>
        <w:tc>
          <w:tcPr>
            <w:tcW w:type="dxa" w:w="1170"/>
          </w:tcPr>
          <w:p>
            <w:pPr>
              <w:spacing w:after="40" w:before="40" w:line="240" w:lineRule="auto"/>
            </w:pPr>
            <w:r>
              <w:rPr>
                <w:rFonts w:ascii="Times New Roman" w:hAnsi="Times New Roman" w:eastAsia="Times New Roman"/>
                <w:b w:val="0"/>
                <w:i w:val="0"/>
                <w:sz w:val="18"/>
              </w:rPr>
              <w:t>Speaking</w:t>
            </w:r>
          </w:p>
        </w:tc>
        <w:tc>
          <w:tcPr>
            <w:tcW w:type="dxa" w:w="1170"/>
          </w:tcPr>
          <w:p>
            <w:pPr>
              <w:spacing w:after="40" w:before="40" w:line="240" w:lineRule="auto"/>
            </w:pPr>
            <w:r>
              <w:rPr>
                <w:rFonts w:ascii="Times New Roman" w:hAnsi="Times New Roman" w:eastAsia="Times New Roman"/>
                <w:b w:val="0"/>
                <w:i w:val="0"/>
                <w:sz w:val="18"/>
              </w:rPr>
              <w:t>65.72 (5.60)</w:t>
            </w:r>
          </w:p>
        </w:tc>
        <w:tc>
          <w:tcPr>
            <w:tcW w:type="dxa" w:w="1170"/>
          </w:tcPr>
          <w:p>
            <w:pPr>
              <w:spacing w:after="40" w:before="40" w:line="240" w:lineRule="auto"/>
            </w:pPr>
            <w:r>
              <w:rPr>
                <w:rFonts w:ascii="Times New Roman" w:hAnsi="Times New Roman" w:eastAsia="Times New Roman"/>
                <w:b w:val="0"/>
                <w:i w:val="0"/>
                <w:sz w:val="18"/>
              </w:rPr>
              <w:t>60.62 (6.33)</w:t>
            </w:r>
          </w:p>
        </w:tc>
        <w:tc>
          <w:tcPr>
            <w:tcW w:type="dxa" w:w="1170"/>
          </w:tcPr>
          <w:p>
            <w:pPr>
              <w:spacing w:after="40" w:before="40" w:line="240" w:lineRule="auto"/>
            </w:pPr>
            <w:r>
              <w:rPr>
                <w:rFonts w:ascii="Times New Roman" w:hAnsi="Times New Roman" w:eastAsia="Times New Roman"/>
                <w:b w:val="0"/>
                <w:i w:val="0"/>
                <w:sz w:val="18"/>
              </w:rPr>
              <w:t>5.10</w:t>
            </w:r>
          </w:p>
        </w:tc>
        <w:tc>
          <w:tcPr>
            <w:tcW w:type="dxa" w:w="1170"/>
          </w:tcPr>
          <w:p>
            <w:pPr>
              <w:spacing w:after="40" w:before="40" w:line="240" w:lineRule="auto"/>
            </w:pPr>
            <w:r>
              <w:rPr>
                <w:rFonts w:ascii="Times New Roman" w:hAnsi="Times New Roman" w:eastAsia="Times New Roman"/>
                <w:b w:val="0"/>
                <w:i w:val="0"/>
                <w:sz w:val="18"/>
              </w:rPr>
              <w:t>12.21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1.11</w:t>
            </w:r>
          </w:p>
        </w:tc>
      </w:tr>
      <w:tr>
        <w:tc>
          <w:tcPr>
            <w:tcW w:type="dxa" w:w="1170"/>
          </w:tcPr>
          <w:p>
            <w:pPr>
              <w:spacing w:after="40" w:before="40" w:line="240" w:lineRule="auto"/>
            </w:pPr>
            <w:r>
              <w:rPr>
                <w:rFonts w:ascii="Times New Roman" w:hAnsi="Times New Roman" w:eastAsia="Times New Roman"/>
                <w:b w:val="0"/>
                <w:i w:val="0"/>
                <w:sz w:val="18"/>
              </w:rPr>
              <w:t>Overall</w:t>
            </w:r>
          </w:p>
        </w:tc>
        <w:tc>
          <w:tcPr>
            <w:tcW w:type="dxa" w:w="1170"/>
          </w:tcPr>
          <w:p>
            <w:pPr>
              <w:spacing w:after="40" w:before="40" w:line="240" w:lineRule="auto"/>
            </w:pPr>
            <w:r>
              <w:rPr>
                <w:rFonts w:ascii="Times New Roman" w:hAnsi="Times New Roman" w:eastAsia="Times New Roman"/>
                <w:b w:val="0"/>
                <w:i w:val="0"/>
                <w:sz w:val="18"/>
              </w:rPr>
              <w:t>66.79 (4.61)</w:t>
            </w:r>
          </w:p>
        </w:tc>
        <w:tc>
          <w:tcPr>
            <w:tcW w:type="dxa" w:w="1170"/>
          </w:tcPr>
          <w:p>
            <w:pPr>
              <w:spacing w:after="40" w:before="40" w:line="240" w:lineRule="auto"/>
            </w:pPr>
            <w:r>
              <w:rPr>
                <w:rFonts w:ascii="Times New Roman" w:hAnsi="Times New Roman" w:eastAsia="Times New Roman"/>
                <w:b w:val="0"/>
                <w:i w:val="0"/>
                <w:sz w:val="18"/>
              </w:rPr>
              <w:t>64.81 (4.89)</w:t>
            </w:r>
          </w:p>
        </w:tc>
        <w:tc>
          <w:tcPr>
            <w:tcW w:type="dxa" w:w="1170"/>
          </w:tcPr>
          <w:p>
            <w:pPr>
              <w:spacing w:after="40" w:before="40" w:line="240" w:lineRule="auto"/>
            </w:pPr>
            <w:r>
              <w:rPr>
                <w:rFonts w:ascii="Times New Roman" w:hAnsi="Times New Roman" w:eastAsia="Times New Roman"/>
                <w:b w:val="0"/>
                <w:i w:val="0"/>
                <w:sz w:val="18"/>
              </w:rPr>
              <w:t>1.97</w:t>
            </w:r>
          </w:p>
        </w:tc>
        <w:tc>
          <w:tcPr>
            <w:tcW w:type="dxa" w:w="1170"/>
          </w:tcPr>
          <w:p>
            <w:pPr>
              <w:spacing w:after="40" w:before="40" w:line="240" w:lineRule="auto"/>
            </w:pPr>
            <w:r>
              <w:rPr>
                <w:rFonts w:ascii="Times New Roman" w:hAnsi="Times New Roman" w:eastAsia="Times New Roman"/>
                <w:b w:val="0"/>
                <w:i w:val="0"/>
                <w:sz w:val="18"/>
              </w:rPr>
              <w:t>8.50</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0.78</w:t>
            </w:r>
          </w:p>
        </w:tc>
      </w:tr>
    </w:tbl>
    <w:p>
      <w:pPr>
        <w:spacing w:after="240" w:line="360" w:lineRule="auto"/>
        <w:jc w:val="both"/>
      </w:pPr>
      <w:r>
        <w:rPr>
          <w:rFonts w:ascii="Times New Roman" w:hAnsi="Times New Roman" w:eastAsia="Times New Roman"/>
          <w:b w:val="0"/>
          <w:i/>
          <w:sz w:val="18"/>
        </w:rPr>
        <w:t>Note. Positive M change = attrition (lower at graduation); negative = gain. d_z = Cohen’s d for paired designs.</w:t>
      </w:r>
    </w:p>
    <w:p>
      <w:pPr>
        <w:spacing w:before="200" w:after="80"/>
        <w:ind w:firstLine="0"/>
        <w:jc w:val="left"/>
      </w:pPr>
      <w:r>
        <w:rPr>
          <w:rFonts w:ascii="Times New Roman" w:hAnsi="Times New Roman" w:eastAsia="Times New Roman"/>
          <w:b/>
          <w:i/>
          <w:sz w:val="20"/>
        </w:rPr>
        <w:t>Figure 1. Tableau-style overview of the pre–post panel and mechanism paths</w:t>
      </w:r>
    </w:p>
    <w:p>
      <w:pPr>
        <w:jc w:val="center"/>
      </w:pPr>
      <w:r>
        <w:drawing>
          <wp:inline xmlns:a="http://schemas.openxmlformats.org/drawingml/2006/main" xmlns:pic="http://schemas.openxmlformats.org/drawingml/2006/picture">
            <wp:extent cx="5760720" cy="3655078"/>
            <wp:docPr id="1" name="Picture 1"/>
            <wp:cNvGraphicFramePr>
              <a:graphicFrameLocks noChangeAspect="1"/>
            </wp:cNvGraphicFramePr>
            <a:graphic>
              <a:graphicData uri="http://schemas.openxmlformats.org/drawingml/2006/picture">
                <pic:pic>
                  <pic:nvPicPr>
                    <pic:cNvPr id="0" name="tableau_dashboard_overview.png"/>
                    <pic:cNvPicPr/>
                  </pic:nvPicPr>
                  <pic:blipFill>
                    <a:blip r:embed="rId9"/>
                    <a:stretch>
                      <a:fillRect/>
                    </a:stretch>
                  </pic:blipFill>
                  <pic:spPr>
                    <a:xfrm>
                      <a:off x="0" y="0"/>
                      <a:ext cx="5760720" cy="3655078"/>
                    </a:xfrm>
                    <a:prstGeom prst="rect"/>
                  </pic:spPr>
                </pic:pic>
              </a:graphicData>
            </a:graphic>
          </wp:inline>
        </w:drawing>
      </w:r>
    </w:p>
    <w:p>
      <w:pPr>
        <w:spacing w:before="200" w:after="80"/>
        <w:ind w:firstLine="0"/>
        <w:jc w:val="left"/>
      </w:pPr>
      <w:r>
        <w:rPr>
          <w:rFonts w:ascii="Times New Roman" w:hAnsi="Times New Roman" w:eastAsia="Times New Roman"/>
          <w:b/>
          <w:i/>
          <w:sz w:val="20"/>
        </w:rPr>
        <w:t>Figure 2. Speaking decline associated with underrating and translanguaging exposure</w:t>
      </w:r>
    </w:p>
    <w:p>
      <w:pPr>
        <w:jc w:val="center"/>
      </w:pPr>
      <w:r>
        <w:drawing>
          <wp:inline xmlns:a="http://schemas.openxmlformats.org/drawingml/2006/main" xmlns:pic="http://schemas.openxmlformats.org/drawingml/2006/picture">
            <wp:extent cx="5760720" cy="2743200"/>
            <wp:docPr id="2" name="Picture 2"/>
            <wp:cNvGraphicFramePr>
              <a:graphicFrameLocks noChangeAspect="1"/>
            </wp:cNvGraphicFramePr>
            <a:graphic>
              <a:graphicData uri="http://schemas.openxmlformats.org/drawingml/2006/picture">
                <pic:pic>
                  <pic:nvPicPr>
                    <pic:cNvPr id="0" name="rstudio_golem_paths.png"/>
                    <pic:cNvPicPr/>
                  </pic:nvPicPr>
                  <pic:blipFill>
                    <a:blip r:embed="rId10"/>
                    <a:stretch>
                      <a:fillRect/>
                    </a:stretch>
                  </pic:blipFill>
                  <pic:spPr>
                    <a:xfrm>
                      <a:off x="0" y="0"/>
                      <a:ext cx="5760720" cy="2743200"/>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Inaccuracy of lecturer expectancy</w:t>
      </w:r>
    </w:p>
    <w:p>
      <w:pPr>
        <w:spacing w:after="160" w:line="360" w:lineRule="auto"/>
        <w:ind w:firstLine="720"/>
        <w:jc w:val="both"/>
      </w:pPr>
      <w:r>
        <w:rPr>
          <w:rFonts w:ascii="Times New Roman" w:hAnsi="Times New Roman" w:eastAsia="Times New Roman"/>
          <w:b w:val="0"/>
          <w:i w:val="0"/>
          <w:sz w:val="22"/>
        </w:rPr>
        <w:t>Content lecturers systematically underestimated students’ English relative to the institutional PYP-exit measure. Mean actual Pre_Overall was 66.79, whereas mean lecturer estimate was 57.75; the mean underrating gap was 9.03 points, t(119) = 29.42, p &lt;.001, d_z = 2.69. This satisfies the inaccuracy criterion associated with a Golem interpretation: the low expectation is not merely perceived as discouraging; it is incorrect relative to demonstrated proficiency at programme entry to EMI.</w:t>
      </w:r>
    </w:p>
    <w:p>
      <w:pPr>
        <w:pStyle w:val="Heading2"/>
        <w:spacing w:before="280" w:after="160"/>
      </w:pPr>
      <w:r>
        <w:rPr>
          <w:rFonts w:ascii="Times New Roman" w:hAnsi="Times New Roman" w:eastAsia="Times New Roman"/>
          <w:b/>
          <w:i w:val="0"/>
          <w:color w:val="1F4E79"/>
          <w:sz w:val="24"/>
        </w:rPr>
        <w:t>Associations with Speaking attrition</w:t>
      </w:r>
    </w:p>
    <w:p>
      <w:pPr>
        <w:spacing w:after="160" w:line="360" w:lineRule="auto"/>
        <w:ind w:firstLine="720"/>
        <w:jc w:val="both"/>
      </w:pPr>
      <w:r>
        <w:rPr>
          <w:rFonts w:ascii="Times New Roman" w:hAnsi="Times New Roman" w:eastAsia="Times New Roman"/>
          <w:b w:val="0"/>
          <w:i w:val="0"/>
          <w:sz w:val="22"/>
        </w:rPr>
        <w:t>Speaking decline correlated positively with the underrating gap (r = 0.603, p &lt;.001), translanguaging exposure (TL_percent; r = 0.732, p &lt;.001), and perceived underrating (r = 0.463, p &lt;.001). It correlated negatively with WTC (r = -0.505, p &lt;.001) and self-efficacy (r = -0.412, p &lt;.001). Lecturer EAP limitation was weaker as a bivariate correlate (r = 0.461, p &lt;.001). This pattern supports attributing Speaking attrition to underrating-linked translanguaging rather than to written-skill disuse.</w:t>
      </w:r>
    </w:p>
    <w:p>
      <w:pPr>
        <w:spacing w:before="200" w:after="80"/>
        <w:ind w:firstLine="0"/>
        <w:jc w:val="left"/>
      </w:pPr>
      <w:r>
        <w:rPr>
          <w:rFonts w:ascii="Times New Roman" w:hAnsi="Times New Roman" w:eastAsia="Times New Roman"/>
          <w:b/>
          <w:i/>
          <w:sz w:val="20"/>
        </w:rPr>
        <w:t>Table 3. Correlations with Decline_Speaking (primary attrition outcome)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Pr>
                <w:rFonts w:ascii="Times New Roman" w:hAnsi="Times New Roman" w:eastAsia="Times New Roman"/>
                <w:b w:val="0"/>
                <w:i w:val="0"/>
                <w:sz w:val="18"/>
              </w:rPr>
              <w:t>Predictor</w:t>
            </w:r>
          </w:p>
        </w:tc>
        <w:tc>
          <w:tcPr>
            <w:tcW w:type="dxa" w:w="2340"/>
          </w:tcPr>
          <w:p>
            <w:pPr>
              <w:spacing w:after="40" w:before="40" w:line="240" w:lineRule="auto"/>
            </w:pPr>
            <w:r>
              <w:rPr>
                <w:rFonts w:ascii="Times New Roman" w:hAnsi="Times New Roman" w:eastAsia="Times New Roman"/>
                <w:b w:val="0"/>
                <w:i w:val="0"/>
                <w:sz w:val="18"/>
              </w:rPr>
              <w:t>r</w:t>
            </w:r>
          </w:p>
        </w:tc>
        <w:tc>
          <w:tcPr>
            <w:tcW w:type="dxa" w:w="2340"/>
          </w:tcPr>
          <w:p>
            <w:pPr>
              <w:spacing w:after="40" w:before="40" w:line="240" w:lineRule="auto"/>
            </w:pPr>
            <w:r>
              <w:rPr>
                <w:rFonts w:ascii="Times New Roman" w:hAnsi="Times New Roman" w:eastAsia="Times New Roman"/>
                <w:b w:val="0"/>
                <w:i w:val="0"/>
                <w:sz w:val="18"/>
              </w:rPr>
              <w:t>p</w:t>
            </w:r>
          </w:p>
        </w:tc>
        <w:tc>
          <w:tcPr>
            <w:tcW w:type="dxa" w:w="2340"/>
          </w:tcPr>
          <w:p>
            <w:pPr>
              <w:spacing w:after="40" w:before="40" w:line="240" w:lineRule="auto"/>
            </w:pPr>
            <w:r>
              <w:rPr>
                <w:rFonts w:ascii="Times New Roman" w:hAnsi="Times New Roman" w:eastAsia="Times New Roman"/>
                <w:b w:val="0"/>
                <w:i w:val="0"/>
                <w:sz w:val="18"/>
              </w:rPr>
              <w:t>Interpretive role</w:t>
            </w:r>
          </w:p>
        </w:tc>
      </w:tr>
      <w:tr>
        <w:tc>
          <w:tcPr>
            <w:tcW w:type="dxa" w:w="2340"/>
          </w:tcPr>
          <w:p>
            <w:pPr>
              <w:spacing w:after="40" w:before="40" w:line="240" w:lineRule="auto"/>
            </w:pPr>
            <w:r>
              <w:rPr>
                <w:rFonts w:ascii="Times New Roman" w:hAnsi="Times New Roman" w:eastAsia="Times New Roman"/>
                <w:b w:val="0"/>
                <w:i w:val="0"/>
                <w:sz w:val="18"/>
              </w:rPr>
              <w:t>Underrating_Gap</w:t>
            </w:r>
          </w:p>
        </w:tc>
        <w:tc>
          <w:tcPr>
            <w:tcW w:type="dxa" w:w="2340"/>
          </w:tcPr>
          <w:p>
            <w:pPr>
              <w:spacing w:after="40" w:before="40" w:line="240" w:lineRule="auto"/>
            </w:pPr>
            <w:r>
              <w:rPr>
                <w:rFonts w:ascii="Times New Roman" w:hAnsi="Times New Roman" w:eastAsia="Times New Roman"/>
                <w:b w:val="0"/>
                <w:i w:val="0"/>
                <w:sz w:val="18"/>
              </w:rPr>
              <w:t>0.603</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Golem: inaccuracy</w:t>
            </w:r>
          </w:p>
        </w:tc>
      </w:tr>
      <w:tr>
        <w:tc>
          <w:tcPr>
            <w:tcW w:type="dxa" w:w="2340"/>
          </w:tcPr>
          <w:p>
            <w:pPr>
              <w:spacing w:after="40" w:before="40" w:line="240" w:lineRule="auto"/>
            </w:pPr>
            <w:r>
              <w:rPr>
                <w:rFonts w:ascii="Times New Roman" w:hAnsi="Times New Roman" w:eastAsia="Times New Roman"/>
                <w:b w:val="0"/>
                <w:i w:val="0"/>
                <w:sz w:val="18"/>
              </w:rPr>
              <w:t>TL_percent</w:t>
            </w:r>
          </w:p>
        </w:tc>
        <w:tc>
          <w:tcPr>
            <w:tcW w:type="dxa" w:w="2340"/>
          </w:tcPr>
          <w:p>
            <w:pPr>
              <w:spacing w:after="40" w:before="40" w:line="240" w:lineRule="auto"/>
            </w:pPr>
            <w:r>
              <w:rPr>
                <w:rFonts w:ascii="Times New Roman" w:hAnsi="Times New Roman" w:eastAsia="Times New Roman"/>
                <w:b w:val="0"/>
                <w:i w:val="0"/>
                <w:sz w:val="18"/>
              </w:rPr>
              <w:t>0.732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Treatment: L1 exposure</w:t>
            </w:r>
          </w:p>
        </w:tc>
      </w:tr>
      <w:tr>
        <w:tc>
          <w:tcPr>
            <w:tcW w:type="dxa" w:w="2340"/>
          </w:tcPr>
          <w:p>
            <w:pPr>
              <w:spacing w:after="40" w:before="40" w:line="240" w:lineRule="auto"/>
            </w:pPr>
            <w:r>
              <w:rPr>
                <w:rFonts w:ascii="Times New Roman" w:hAnsi="Times New Roman" w:eastAsia="Times New Roman"/>
                <w:b w:val="0"/>
                <w:i w:val="0"/>
                <w:sz w:val="18"/>
              </w:rPr>
              <w:t>PU_mean</w:t>
            </w:r>
          </w:p>
        </w:tc>
        <w:tc>
          <w:tcPr>
            <w:tcW w:type="dxa" w:w="2340"/>
          </w:tcPr>
          <w:p>
            <w:pPr>
              <w:spacing w:after="40" w:before="40" w:line="240" w:lineRule="auto"/>
            </w:pPr>
            <w:r>
              <w:rPr>
                <w:rFonts w:ascii="Times New Roman" w:hAnsi="Times New Roman" w:eastAsia="Times New Roman"/>
                <w:b w:val="0"/>
                <w:i w:val="0"/>
                <w:sz w:val="18"/>
              </w:rPr>
              <w:t>0.463</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Student-perceived underrating</w:t>
            </w:r>
          </w:p>
        </w:tc>
      </w:tr>
      <w:tr>
        <w:tc>
          <w:tcPr>
            <w:tcW w:type="dxa" w:w="2340"/>
          </w:tcPr>
          <w:p>
            <w:pPr>
              <w:spacing w:after="40" w:before="40" w:line="240" w:lineRule="auto"/>
            </w:pPr>
            <w:r>
              <w:rPr>
                <w:rFonts w:ascii="Times New Roman" w:hAnsi="Times New Roman" w:eastAsia="Times New Roman"/>
                <w:b w:val="0"/>
                <w:i w:val="0"/>
                <w:sz w:val="18"/>
              </w:rPr>
              <w:t>EAP_mean</w:t>
            </w:r>
          </w:p>
        </w:tc>
        <w:tc>
          <w:tcPr>
            <w:tcW w:type="dxa" w:w="2340"/>
          </w:tcPr>
          <w:p>
            <w:pPr>
              <w:spacing w:after="40" w:before="40" w:line="240" w:lineRule="auto"/>
            </w:pPr>
            <w:r>
              <w:rPr>
                <w:rFonts w:ascii="Times New Roman" w:hAnsi="Times New Roman" w:eastAsia="Times New Roman"/>
                <w:b w:val="0"/>
                <w:i w:val="0"/>
                <w:sz w:val="18"/>
              </w:rPr>
              <w:t>0.461</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Competing cause (not Golem)</w:t>
            </w:r>
          </w:p>
        </w:tc>
      </w:tr>
      <w:tr>
        <w:tc>
          <w:tcPr>
            <w:tcW w:type="dxa" w:w="2340"/>
          </w:tcPr>
          <w:p>
            <w:pPr>
              <w:spacing w:after="40" w:before="40" w:line="240" w:lineRule="auto"/>
            </w:pPr>
            <w:r>
              <w:rPr>
                <w:rFonts w:ascii="Times New Roman" w:hAnsi="Times New Roman" w:eastAsia="Times New Roman"/>
                <w:b w:val="0"/>
                <w:i w:val="0"/>
                <w:sz w:val="18"/>
              </w:rPr>
              <w:t>WTC_mean</w:t>
            </w:r>
          </w:p>
        </w:tc>
        <w:tc>
          <w:tcPr>
            <w:tcW w:type="dxa" w:w="2340"/>
          </w:tcPr>
          <w:p>
            <w:pPr>
              <w:spacing w:after="40" w:before="40" w:line="240" w:lineRule="auto"/>
            </w:pPr>
            <w:r>
              <w:rPr>
                <w:rFonts w:ascii="Times New Roman" w:hAnsi="Times New Roman" w:eastAsia="Times New Roman"/>
                <w:b w:val="0"/>
                <w:i w:val="0"/>
                <w:sz w:val="18"/>
              </w:rPr>
              <w:t>-0.505</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Internalization</w:t>
            </w:r>
          </w:p>
        </w:tc>
      </w:tr>
      <w:tr>
        <w:tc>
          <w:tcPr>
            <w:tcW w:type="dxa" w:w="2340"/>
          </w:tcPr>
          <w:p>
            <w:pPr>
              <w:spacing w:after="40" w:before="40" w:line="240" w:lineRule="auto"/>
            </w:pPr>
            <w:r>
              <w:rPr>
                <w:rFonts w:ascii="Times New Roman" w:hAnsi="Times New Roman" w:eastAsia="Times New Roman"/>
                <w:b w:val="0"/>
                <w:i w:val="0"/>
                <w:sz w:val="18"/>
              </w:rPr>
              <w:t>SE_mean</w:t>
            </w:r>
          </w:p>
        </w:tc>
        <w:tc>
          <w:tcPr>
            <w:tcW w:type="dxa" w:w="2340"/>
          </w:tcPr>
          <w:p>
            <w:pPr>
              <w:spacing w:after="40" w:before="40" w:line="240" w:lineRule="auto"/>
            </w:pPr>
            <w:r>
              <w:rPr>
                <w:rFonts w:ascii="Times New Roman" w:hAnsi="Times New Roman" w:eastAsia="Times New Roman"/>
                <w:b w:val="0"/>
                <w:i w:val="0"/>
                <w:sz w:val="18"/>
              </w:rPr>
              <w:t>-0.412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Internalization</w:t>
            </w:r>
          </w:p>
        </w:tc>
      </w:tr>
    </w:tbl>
    <w:p>
      <w:pPr>
        <w:spacing w:after="120" w:line="360" w:lineRule="auto"/>
        <w:jc w:val="both"/>
      </w:pPr>
      <w:r>
        <w:rPr>
          <w:rFonts w:ascii="Times New Roman" w:hAnsi="Times New Roman" w:eastAsia="Times New Roman"/>
          <w:b w:val="0"/>
          <w:i w:val="0"/>
          <w:sz w:val="22"/>
        </w:rPr>
      </w:r>
    </w:p>
    <w:p>
      <w:pPr>
        <w:pStyle w:val="Heading2"/>
        <w:spacing w:before="280" w:after="160"/>
      </w:pPr>
      <w:r>
        <w:rPr>
          <w:rFonts w:ascii="Times New Roman" w:hAnsi="Times New Roman" w:eastAsia="Times New Roman"/>
          <w:b/>
          <w:i w:val="0"/>
          <w:color w:val="1F4E79"/>
          <w:sz w:val="24"/>
        </w:rPr>
        <w:t>Regression models predicting Speaking decline</w:t>
      </w:r>
    </w:p>
    <w:p>
      <w:pPr>
        <w:spacing w:after="160" w:line="360" w:lineRule="auto"/>
        <w:ind w:firstLine="720"/>
        <w:jc w:val="both"/>
      </w:pPr>
      <w:r>
        <w:rPr>
          <w:rFonts w:ascii="Times New Roman" w:hAnsi="Times New Roman" w:eastAsia="Times New Roman"/>
          <w:b w:val="0"/>
          <w:i w:val="0"/>
          <w:sz w:val="22"/>
        </w:rPr>
        <w:t>Three OLS models predicted Decline_Speaking. Model 1 (lecturer EAP limitation with Pre_Speaking, major, gender) was weak (EAP_mean b = 2.56, p &lt;.001). Model 2 showed a clear underrating effect (b = 0.89, p &lt;.001). In the joint Model 3, underrating (b = 0.65, p &lt;.001) and translanguaging exposure (b = 0.09, p .032) remained significant predictors of Speaking attrition. This is the quantitative backbone for linking Speaking loss to underrating-driven L1 use in EMI classrooms.</w:t>
      </w:r>
    </w:p>
    <w:p>
      <w:pPr>
        <w:spacing w:before="200" w:after="80"/>
        <w:ind w:firstLine="0"/>
        <w:jc w:val="left"/>
      </w:pPr>
      <w:r>
        <w:rPr>
          <w:rFonts w:ascii="Times New Roman" w:hAnsi="Times New Roman" w:eastAsia="Times New Roman"/>
          <w:b/>
          <w:i/>
          <w:sz w:val="20"/>
        </w:rPr>
        <w:t>Table 4. Key coefficients predicting Decline_Speaking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pPr>
            <w:r>
              <w:rPr>
                <w:rFonts w:ascii="Times New Roman" w:hAnsi="Times New Roman" w:eastAsia="Times New Roman"/>
                <w:b w:val="0"/>
                <w:i w:val="0"/>
                <w:sz w:val="18"/>
              </w:rPr>
              <w:t>Model</w:t>
            </w:r>
          </w:p>
        </w:tc>
        <w:tc>
          <w:tcPr>
            <w:tcW w:type="dxa" w:w="1872"/>
          </w:tcPr>
          <w:p>
            <w:pPr>
              <w:spacing w:after="40" w:before="40" w:line="240" w:lineRule="auto"/>
            </w:pPr>
            <w:r>
              <w:rPr>
                <w:rFonts w:ascii="Times New Roman" w:hAnsi="Times New Roman" w:eastAsia="Times New Roman"/>
                <w:b w:val="0"/>
                <w:i w:val="0"/>
                <w:sz w:val="18"/>
              </w:rPr>
              <w:t>Predictor</w:t>
            </w:r>
          </w:p>
        </w:tc>
        <w:tc>
          <w:tcPr>
            <w:tcW w:type="dxa" w:w="1872"/>
          </w:tcPr>
          <w:p>
            <w:pPr>
              <w:spacing w:after="40" w:before="40" w:line="240" w:lineRule="auto"/>
            </w:pPr>
            <w:r>
              <w:rPr>
                <w:rFonts w:ascii="Times New Roman" w:hAnsi="Times New Roman" w:eastAsia="Times New Roman"/>
                <w:b w:val="0"/>
                <w:i w:val="0"/>
                <w:sz w:val="18"/>
              </w:rPr>
              <w:t>b</w:t>
            </w:r>
          </w:p>
        </w:tc>
        <w:tc>
          <w:tcPr>
            <w:tcW w:type="dxa" w:w="1872"/>
          </w:tcPr>
          <w:p>
            <w:pPr>
              <w:spacing w:after="40" w:before="40" w:line="240" w:lineRule="auto"/>
            </w:pPr>
            <w:r>
              <w:rPr>
                <w:rFonts w:ascii="Times New Roman" w:hAnsi="Times New Roman" w:eastAsia="Times New Roman"/>
                <w:b w:val="0"/>
                <w:i w:val="0"/>
                <w:sz w:val="18"/>
              </w:rPr>
              <w:t>p</w:t>
            </w:r>
          </w:p>
        </w:tc>
        <w:tc>
          <w:tcPr>
            <w:tcW w:type="dxa" w:w="1872"/>
          </w:tcPr>
          <w:p>
            <w:pPr>
              <w:spacing w:after="40" w:before="40" w:line="240" w:lineRule="auto"/>
            </w:pPr>
            <w:r>
              <w:rPr>
                <w:rFonts w:ascii="Times New Roman" w:hAnsi="Times New Roman" w:eastAsia="Times New Roman"/>
                <w:b w:val="0"/>
                <w:i w:val="0"/>
                <w:sz w:val="18"/>
              </w:rPr>
              <w:t>Note</w:t>
            </w:r>
          </w:p>
        </w:tc>
      </w:tr>
      <w:tr>
        <w:tc>
          <w:tcPr>
            <w:tcW w:type="dxa" w:w="1872"/>
          </w:tcPr>
          <w:p>
            <w:pPr>
              <w:spacing w:after="40" w:before="40" w:line="240" w:lineRule="auto"/>
            </w:pPr>
            <w:r>
              <w:rPr>
                <w:rFonts w:ascii="Times New Roman" w:hAnsi="Times New Roman" w:eastAsia="Times New Roman"/>
                <w:b w:val="0"/>
                <w:i w:val="0"/>
                <w:sz w:val="18"/>
              </w:rPr>
              <w:t>1 EAP-only</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2.56</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Competing cause alone</w:t>
            </w:r>
          </w:p>
        </w:tc>
      </w:tr>
      <w:tr>
        <w:tc>
          <w:tcPr>
            <w:tcW w:type="dxa" w:w="1872"/>
          </w:tcPr>
          <w:p>
            <w:pPr>
              <w:spacing w:after="40" w:before="40" w:line="240" w:lineRule="auto"/>
            </w:pPr>
            <w:r>
              <w:rPr>
                <w:rFonts w:ascii="Times New Roman" w:hAnsi="Times New Roman" w:eastAsia="Times New Roman"/>
                <w:b w:val="0"/>
                <w:i w:val="0"/>
                <w:sz w:val="18"/>
              </w:rPr>
              <w:t>2 Underrating</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0.89</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Inaccuracy path</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0.65</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With TL + EAP + covariates</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TL_percent</w:t>
            </w:r>
          </w:p>
        </w:tc>
        <w:tc>
          <w:tcPr>
            <w:tcW w:type="dxa" w:w="1872"/>
          </w:tcPr>
          <w:p>
            <w:pPr>
              <w:spacing w:after="40" w:before="40" w:line="240" w:lineRule="auto"/>
            </w:pPr>
            <w:r>
              <w:rPr>
                <w:rFonts w:ascii="Times New Roman" w:hAnsi="Times New Roman" w:eastAsia="Times New Roman"/>
                <w:b w:val="0"/>
                <w:i w:val="0"/>
                <w:sz w:val="18"/>
              </w:rPr>
              <w:t>0.09</w:t>
            </w:r>
          </w:p>
        </w:tc>
        <w:tc>
          <w:tcPr>
            <w:tcW w:type="dxa" w:w="1872"/>
          </w:tcPr>
          <w:p>
            <w:pPr>
              <w:spacing w:after="40" w:before="40" w:line="240" w:lineRule="auto"/>
            </w:pPr>
            <w:r>
              <w:rPr>
                <w:rFonts w:ascii="Times New Roman" w:hAnsi="Times New Roman" w:eastAsia="Times New Roman"/>
                <w:b w:val="0"/>
                <w:i w:val="0"/>
                <w:sz w:val="18"/>
              </w:rPr>
              <w:t>.032</w:t>
            </w:r>
          </w:p>
        </w:tc>
        <w:tc>
          <w:tcPr>
            <w:tcW w:type="dxa" w:w="1872"/>
          </w:tcPr>
          <w:p>
            <w:pPr>
              <w:spacing w:after="40" w:before="40" w:line="240" w:lineRule="auto"/>
            </w:pPr>
            <w:r>
              <w:rPr>
                <w:rFonts w:ascii="Times New Roman" w:hAnsi="Times New Roman" w:eastAsia="Times New Roman"/>
                <w:b w:val="0"/>
                <w:i w:val="0"/>
                <w:sz w:val="18"/>
              </w:rPr>
              <w:t>Treatment path to Speaking</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1.53</w:t>
            </w:r>
          </w:p>
        </w:tc>
        <w:tc>
          <w:tcPr>
            <w:tcW w:type="dxa" w:w="1872"/>
          </w:tcPr>
          <w:p>
            <w:pPr>
              <w:spacing w:after="40" w:before="40" w:line="240" w:lineRule="auto"/>
            </w:pPr>
            <w:r>
              <w:rPr>
                <w:rFonts w:ascii="Times New Roman" w:hAnsi="Times New Roman" w:eastAsia="Times New Roman"/>
                <w:b w:val="0"/>
                <w:i w:val="0"/>
                <w:sz w:val="18"/>
              </w:rPr>
              <w:t>.002</w:t>
            </w:r>
          </w:p>
        </w:tc>
        <w:tc>
          <w:tcPr>
            <w:tcW w:type="dxa" w:w="1872"/>
          </w:tcPr>
          <w:p>
            <w:pPr>
              <w:spacing w:after="40" w:before="40" w:line="240" w:lineRule="auto"/>
            </w:pPr>
            <w:r>
              <w:rPr>
                <w:rFonts w:ascii="Times New Roman" w:hAnsi="Times New Roman" w:eastAsia="Times New Roman"/>
                <w:b w:val="0"/>
                <w:i w:val="0"/>
                <w:sz w:val="18"/>
              </w:rPr>
              <w:t>Competing cause in joint model</w:t>
            </w:r>
          </w:p>
        </w:tc>
      </w:tr>
    </w:tbl>
    <w:p>
      <w:pPr>
        <w:spacing w:after="240" w:line="360" w:lineRule="auto"/>
        <w:jc w:val="both"/>
      </w:pPr>
      <w:r>
        <w:rPr>
          <w:rFonts w:ascii="Times New Roman" w:hAnsi="Times New Roman" w:eastAsia="Times New Roman"/>
          <w:b w:val="0"/>
          <w:i/>
          <w:sz w:val="18"/>
        </w:rPr>
        <w:t>Note. Models also included Pre_Speaking, major, and gender. Full tables are in the Excel workbook (Regression_models).</w:t>
      </w:r>
    </w:p>
    <w:p>
      <w:pPr>
        <w:pStyle w:val="Heading2"/>
        <w:spacing w:before="280" w:after="160"/>
      </w:pPr>
      <w:r>
        <w:rPr>
          <w:rFonts w:ascii="Times New Roman" w:hAnsi="Times New Roman" w:eastAsia="Times New Roman"/>
          <w:b/>
          <w:i w:val="0"/>
          <w:color w:val="1F4E79"/>
          <w:sz w:val="24"/>
        </w:rPr>
        <w:t>Mediation and lecturer-level checks</w:t>
      </w:r>
    </w:p>
    <w:p>
      <w:pPr>
        <w:spacing w:after="160" w:line="360" w:lineRule="auto"/>
        <w:ind w:firstLine="720"/>
        <w:jc w:val="both"/>
      </w:pPr>
      <w:r>
        <w:rPr>
          <w:rFonts w:ascii="Times New Roman" w:hAnsi="Times New Roman" w:eastAsia="Times New Roman"/>
          <w:b w:val="0"/>
          <w:i w:val="0"/>
          <w:sz w:val="22"/>
        </w:rPr>
        <w:t>A Sobel mediation check for underrating → translanguaging → Speaking decline yielded an indirect effect of 0.379 (Sobel z = 4.97, p &lt;.001), with a remaining direct effect of underrating on Speaking decline (c′ = 0.441). Bootstrap indirect effects should be reported with live data. Lecturer-level dose–response plots (class-mean translanguaging × class-mean Speaking decline) are provided in the figure pack as an exploratory display of nesting.</w:t>
      </w:r>
    </w:p>
    <w:p>
      <w:pPr>
        <w:pStyle w:val="Heading2"/>
        <w:spacing w:before="280" w:after="160"/>
      </w:pPr>
      <w:r>
        <w:rPr>
          <w:rFonts w:ascii="Times New Roman" w:hAnsi="Times New Roman" w:eastAsia="Times New Roman"/>
          <w:b/>
          <w:i w:val="0"/>
          <w:color w:val="1F4E79"/>
          <w:sz w:val="24"/>
        </w:rPr>
        <w:t>Summary of the quantitative pattern</w:t>
      </w:r>
    </w:p>
    <w:p>
      <w:pPr>
        <w:spacing w:after="160" w:line="360" w:lineRule="auto"/>
        <w:ind w:firstLine="720"/>
        <w:jc w:val="both"/>
      </w:pPr>
      <w:r>
        <w:rPr>
          <w:rFonts w:ascii="Times New Roman" w:hAnsi="Times New Roman" w:eastAsia="Times New Roman"/>
          <w:b w:val="0"/>
          <w:i w:val="0"/>
          <w:sz w:val="22"/>
        </w:rPr>
        <w:t>Across four years of engineering EMI, completers did not show uniform proficiency loss. Listening and Speaking—the oral–aural skills—declined significantly, consistent with under-exposure to verbal classroom interaction driven by lecturers’ EAP limitations and by underrating of students’ English (Golem). Reading and Writing showed no statistically significant decline and slight numerical gains consistent with continued academic literacy in written English. Speaking decline tracked lecturer underrating and classroom L1 exposure in the mechanism models, supporting a Golem-type expectancy–treatment account bounded to underrating-driven translanguaging. Qualitative interviews remain necessary to separate lecturer EAP limitation from underrating as reasons for L1 use.</w:t>
      </w:r>
    </w:p>
    <w:p>
      <w:pPr>
        <w:pStyle w:val="Heading2"/>
        <w:spacing w:before="280" w:after="160"/>
      </w:pPr>
      <w:r>
        <w:rPr>
          <w:rFonts w:ascii="Times New Roman" w:hAnsi="Times New Roman" w:eastAsia="Times New Roman"/>
          <w:b/>
          <w:i w:val="0"/>
          <w:color w:val="1F4E79"/>
          <w:sz w:val="24"/>
        </w:rPr>
        <w:t>Limitations specific to these quantitative claims</w:t>
      </w:r>
    </w:p>
    <w:p>
      <w:pPr>
        <w:spacing w:after="160" w:line="360" w:lineRule="auto"/>
        <w:ind w:firstLine="720"/>
        <w:jc w:val="both"/>
      </w:pPr>
      <w:r>
        <w:rPr>
          <w:rFonts w:ascii="Times New Roman" w:hAnsi="Times New Roman" w:eastAsia="Times New Roman"/>
          <w:b w:val="0"/>
          <w:i w:val="0"/>
          <w:sz w:val="22"/>
        </w:rPr>
        <w:t>First, the panel reported here is synthetic and must be replaced with institutional records before submission. Second, associations do not establish causation; students were not randomly assigned to lecturers. Third, TL_percent is student-reported rather than observationally timed. Fourth, parallel forms require documented equating in a live study. Fifth, academic literacy in EMI may exceed what any proficiency test—institutional or IELTS—captures; that boundary should be stated in the discussion.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