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English-Medium Instruction and Oral–Aural Attrition:</w:t>
        <w:br/>
        <w:t>Methodology and Quantitative Results</w:t>
      </w:r>
    </w:p>
    <w:p>
      <w:pPr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Explanatory sequential mixed methods (QUANT → QUAL) · Synthetic N = 120 · Quantitative strand = RQ1 (paired Pre/Post) only</w:t>
      </w:r>
    </w:p>
    <w:p>
      <w:pPr>
        <w:spacing w:after="160" w:line="360" w:lineRule="auto"/>
      </w:pPr>
      <w:r>
        <w:rPr>
          <w:rFonts w:ascii="Times New Roman" w:hAnsi="Times New Roman"/>
          <w:b w:val="0"/>
          <w:i/>
          <w:sz w:val="20"/>
        </w:rPr>
        <w:t>Author note. Quantitative values are from a calibrated synthetic completer panel for method scaffolding and presentation format (Nicol &amp; Pexman). They are not findings from real students. Qualitative data and analysis (RQ2–RQ3) will follow once this quantitative comparison is locked.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1F4E79"/>
          <w:sz w:val="28"/>
        </w:rPr>
        <w:t>Research questions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2"/>
        </w:rPr>
        <w:t>RQ1 (Quantitative). To what extent do students’ institutional English proficiency scores change from PYP exit to graduation after four years of engineering EMI, across Listening, Reading, Writing, Speaking, and Overall?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2"/>
        </w:rPr>
        <w:t>RQ2 (Qualitative — students; primary). To what do students attribute oral–aural attrition during EMI, and what themes emerge (including frequent translanguaging)?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2"/>
        </w:rPr>
        <w:t>RQ3 (Qualitative — lecturers; optional/light). Do lecturers report translanguaging, for what reasons, and how do they perceive students’ English?</w:t>
      </w:r>
    </w:p>
    <w:p>
      <w:pPr>
        <w:pStyle w:val="Heading1"/>
      </w:pPr>
      <w:r>
        <w:rPr>
          <w:rFonts w:ascii="Times New Roman" w:hAnsi="Times New Roman"/>
          <w:b/>
          <w:i w:val="0"/>
          <w:color w:val="1F4E79"/>
          <w:sz w:val="28"/>
        </w:rPr>
        <w:t>Methodology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Research design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The study adopts an explanatory sequential mixed-methods design (Creswell &amp; Plano Clark, 2018). Phase 1 (quantitative) uses a longitudinal completer panel: the same engineering EMI students sat parallel institutional academic English tests at (a) the end of the Preparatory Year Programme (PYP; pretest) and (b) immediately before graduation after four years of EMI (posttest). This supports paired (dependent-samples) comparison of proficiency change by skill (Field, 2013; Nicol &amp; Pexman, 2010a). Phase 2 (qualitative; forthcoming) will collect lecturer and student accounts to explain oral–aural attrition through translanguaging and EMI language practices. No quantitative mechanism models (underrating indices, TL% regressions, mediation) are included in Phase 1.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Setting and participants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The setting is a Turkish public-university engineering faculty in which students complete an English PYP before EMI content courses. Progression requires a minimum overall score of 60/100 (≈ CEFR B1). The analytic sample comprised 120 EMI engineering completers with both pretest and posttest scores (synthetic panel for scaffolding; 82 male, 38 female). Majors were balanced across Mechanical, Chemical, and Electrical-Electronics Engineering (n = 40 each).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Instrument and procedure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The institutional academic English test covered Listening, Reading, Writing, and Speaking on a 0–100 scale; Overall was the unweighted mean of the four skill scores. The graduation-year administration used a parallel form (same blueprint and rubric family; different items). Writing and Speaking were marked independently by three raters (testing expert and two PYP instructors); the official skill score was the mean of the three marks. Pretest scores came from the PYP-exit administration; posttest scores from the graduation-year administration.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Quantitative data analysis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Analyses addressed RQ1 only. Because the question concerns skill-specific Pre–Post change, paired-samples t tests (with Wilcoxon signed-rank companions) were run for Listening, Reading, Writing, Speaking, and Overall, reporting Cohen’s d_z and 95% confidence intervals for mean differences (Nicol &amp; Pexman, 2010a, t-test Play-It-Safe format). Shapiro–Wilk tests inspected difference-score distributions. MANOVA and repeated-measures ANOVA were not adopted as lead analyses: a multivariate omnibus would still require univariate follow-ups and would expand the results section without clarifying which skills declined. For publishing economy, presentation is limited to two tables and one grouped Pre–Post bar figure with 95% CIs (Nicol &amp; Pexman, 2010b). Explanatory accounts of attrition are reserved for the qualitative strand.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Qualitative strand (forthcoming)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RQ2–RQ3 will draw on lecturer and student interviews. Anticipated lecturer themes include translanguaging as compensation for perceived student English limitations to secure content learning. Anticipated student themes include materials/lecturer English beyond their level and/or lecturers’ limited EMI proficiency; reduced English verbal interaction; and a felt decline in Listening and Speaking. Thematic analysis will proceed after these quantitative results are fixed.</w:t>
      </w:r>
    </w:p>
    <w:p>
      <w:pPr>
        <w:pStyle w:val="Heading1"/>
      </w:pPr>
      <w:r>
        <w:rPr>
          <w:rFonts w:ascii="Times New Roman" w:hAnsi="Times New Roman"/>
          <w:b/>
          <w:i w:val="0"/>
          <w:color w:val="1F4E79"/>
          <w:sz w:val="28"/>
        </w:rPr>
        <w:t>Quantitative results (RQ1)</w:t>
      </w:r>
    </w:p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Preliminary descriptives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All 120 completers scored at or above the institutional threshold at pretest (Pre_Overall minimum = 60.1). Mean Overall declined from Pre (M = 66.79, SD = 4.61) to Post (M = 64.81, SD = 4.89). At graduation, 18 students (15.0%) scored below 60 overall. Table 1 reports Pre and Post means and standard deviations by skill in a Play-It-Safe means format (Nicol &amp; Pexman, 2010a).</w:t>
      </w:r>
    </w:p>
    <w:p>
      <w:pPr>
        <w:spacing w:before="240" w:after="0"/>
      </w:pPr>
      <w:r>
        <w:rPr>
          <w:rFonts w:ascii="Times New Roman" w:hAnsi="Times New Roman"/>
          <w:b/>
          <w:i w:val="0"/>
          <w:sz w:val="22"/>
        </w:rPr>
        <w:t>Table 1</w:t>
      </w:r>
    </w:p>
    <w:p>
      <w:pPr>
        <w:spacing w:after="120"/>
      </w:pPr>
      <w:r>
        <w:rPr>
          <w:rFonts w:ascii="Times New Roman" w:hAnsi="Times New Roman"/>
          <w:b w:val="0"/>
          <w:i/>
          <w:sz w:val="22"/>
        </w:rPr>
        <w:t>Descriptive Statistics for Pre and Post Proficiency Scores (N = 120)</w:t>
      </w:r>
    </w:p>
    <w:p>
      <w:pPr>
        <w:spacing w:before="80"/>
      </w:pPr>
      <w:r>
        <w:rPr>
          <w:rFonts w:ascii="Times New Roman" w:hAnsi="Times New Roman"/>
          <w:b w:val="0"/>
          <w:i w:val="0"/>
          <w:sz w:val="18"/>
        </w:rPr>
        <w:t>Note. Scores are on the 0–100 institutional scale. PYP pass threshold = 60 (≈ CEFR B1).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 M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Pre SD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Post M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Post SD</w:t>
            </w:r>
          </w:p>
        </w:tc>
      </w:tr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Listening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67.25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5.24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63.70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6.12</w:t>
            </w:r>
          </w:p>
        </w:tc>
      </w:tr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Reading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67.82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4.86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68.23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5.72</w:t>
            </w:r>
          </w:p>
        </w:tc>
      </w:tr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Writing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66.34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5.22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66.69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6.51</w:t>
            </w:r>
          </w:p>
        </w:tc>
      </w:tr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Speaking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65.72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5.60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60.62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6.33</w:t>
            </w:r>
          </w:p>
        </w:tc>
      </w:tr>
      <w:tr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Overall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66.79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4.61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64.81</w:t>
            </w:r>
          </w:p>
        </w:tc>
        <w:tc>
          <w:tcPr>
            <w:tcW w:type="dxa" w:w="1728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4.89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Paired-samples comparisons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Table 2 presents paired-samples t tests for Pre–Post change (Mdiff = Pre − Post; positive values indicate attrition), following Nicol and Pexman’s (2010a) Play-It-Safe multi-t-test layout. Speaking showed the largest significant decline (Mdiff = 5.10, t(119) = 12.21, p &lt; .001, d_z = 1.11, 95% CI [4.27, 5.93]). Listening also declined significantly, though less sharply (Mdiff = 3.55, t(119) = 9.46, p &lt; .001, d_z = 0.86, 95% CI [2.81, 4.29]). Reading (Mdiff = -0.41, t(119) = -1.26, p = .21, d_z = -0.11) and Writing (Mdiff = -0.35, t(119) = -0.93, p = .35, d_z = -0.09) did not decline; both showed small non-significant gains. Overall declined significantly (Mdiff = 1.97, t(119) = 8.50, p &lt; .001, d_z = 0.78), reflecting the oral–aural losses. Wilcoxon signed-rank tests supported the same significance decisions.</w:t>
      </w:r>
    </w:p>
    <w:p>
      <w:pPr>
        <w:spacing w:before="240" w:after="0"/>
      </w:pPr>
      <w:r>
        <w:rPr>
          <w:rFonts w:ascii="Times New Roman" w:hAnsi="Times New Roman"/>
          <w:b/>
          <w:i w:val="0"/>
          <w:sz w:val="22"/>
        </w:rPr>
        <w:t>Table 2</w:t>
      </w:r>
    </w:p>
    <w:p>
      <w:pPr>
        <w:spacing w:after="120"/>
      </w:pPr>
      <w:r>
        <w:rPr>
          <w:rFonts w:ascii="Times New Roman" w:hAnsi="Times New Roman"/>
          <w:b w:val="0"/>
          <w:i/>
          <w:sz w:val="22"/>
        </w:rPr>
        <w:t>Paired-Samples Tests of Pre–Post Change (N = 120)</w:t>
      </w:r>
    </w:p>
    <w:p>
      <w:pPr>
        <w:spacing w:before="80"/>
      </w:pPr>
      <w:r>
        <w:rPr>
          <w:rFonts w:ascii="Times New Roman" w:hAnsi="Times New Roman"/>
          <w:b w:val="0"/>
          <w:i w:val="0"/>
          <w:sz w:val="18"/>
        </w:rPr>
        <w:t>Note. Mdiff = Pre − Post (positive = attrition). d_z = Cohen’s d for paired designs. 95% CIs are for mean differences. Wilcoxon signed-rank p values were consistent with the paired t conclusions. *p &lt; .05. **p &lt; .01. ***p &lt; .001.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Skill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Mdiff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t(119)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d_z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single" w:sz="12" w:space="0" w:color="000000"/>
              <w:bottom w:val="single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95% CI</w:t>
            </w:r>
          </w:p>
        </w:tc>
      </w:tr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Listening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3.55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4.11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9.46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&lt; .001***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0.86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[2.81, 4.29]</w:t>
            </w:r>
          </w:p>
        </w:tc>
      </w:tr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Reading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-0.41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3.53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-1.26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= .21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-0.11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[-1.04, 0.23]</w:t>
            </w:r>
          </w:p>
        </w:tc>
      </w:tr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Writing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-0.35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4.10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-0.93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= .35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-0.09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[-1.09, 0.39]</w:t>
            </w:r>
          </w:p>
        </w:tc>
      </w:tr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Speaking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5.10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4.57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12.21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&lt; .001***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1.11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nil" w:sz="8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[4.27, 5.93]</w:t>
            </w:r>
          </w:p>
        </w:tc>
      </w:tr>
      <w:tr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Overall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1.97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2.54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8.50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&lt; .001***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0.78</w:t>
            </w:r>
          </w:p>
        </w:tc>
        <w:tc>
          <w:tcPr>
            <w:tcW w:type="dxa" w:w="1234"/>
            <w:tcBorders>
              <w:left w:val="nil" w:sz="8" w:space="0" w:color="000000"/>
              <w:right w:val="nil" w:sz="8" w:space="0" w:color="000000"/>
              <w:top w:val="nil" w:sz="8" w:space="0" w:color="000000"/>
              <w:bottom w:val="single" w:sz="12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[1.51, 2.43]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i w:val="0"/>
          <w:color w:val="1F4E79"/>
          <w:sz w:val="24"/>
        </w:rPr>
        <w:t>Summary for the mixed-methods sequence</w:t>
      </w:r>
    </w:p>
    <w:p>
      <w:pPr>
        <w:spacing w:after="160" w:line="360" w:lineRule="auto"/>
        <w:ind w:firstLine="432"/>
      </w:pPr>
      <w:r>
        <w:rPr>
          <w:rFonts w:ascii="Times New Roman" w:hAnsi="Times New Roman"/>
          <w:b w:val="0"/>
          <w:i w:val="0"/>
          <w:sz w:val="22"/>
        </w:rPr>
        <w:t>Taken together, quantitative attrition is concentrated in the oral–aural skills: Speaking shows the greatest loss and Listening a substantial secondary loss, whereas Reading and Writing remain statistically stable (slight non-significant gains), consistent with stronger reliance on written EAP discourse during the degree. Figure 1 displays Pre versus Post means with 95% confidence intervals and is the sole publication figure. These results answer RQ1 and motivate the qualitative strand (RQ2–RQ3) on translanguaging and related attributions, without additional quantitative mechanism models.</w:t>
      </w:r>
    </w:p>
    <w:p>
      <w:pPr>
        <w:spacing w:before="240" w:after="0"/>
      </w:pPr>
      <w:r>
        <w:rPr>
          <w:rFonts w:ascii="Times New Roman" w:hAnsi="Times New Roman"/>
          <w:b/>
          <w:i w:val="0"/>
          <w:sz w:val="22"/>
        </w:rPr>
        <w:t>Figure 1</w:t>
      </w:r>
    </w:p>
    <w:p>
      <w:pPr>
        <w:spacing w:after="120"/>
      </w:pPr>
      <w:r>
        <w:rPr>
          <w:rFonts w:ascii="Times New Roman" w:hAnsi="Times New Roman"/>
          <w:b w:val="0"/>
          <w:i/>
          <w:sz w:val="22"/>
        </w:rPr>
        <w:t>Mean Pre (PYP exit) and Post (graduation) scores by skill with 95% confidence intervals of the mean (0–100 scale). Speaking shows the largest decline, then Listening; Reading and Writing do not decline. PYP pass threshold = 60.</w:t>
      </w:r>
    </w:p>
    <w:p>
      <w:pPr>
        <w:spacing w:before="80"/>
      </w:pPr>
      <w:r>
        <w:rPr>
          <w:rFonts w:ascii="Times New Roman" w:hAnsi="Times New Roman"/>
          <w:b w:val="0"/>
          <w:i w:val="0"/>
          <w:sz w:val="18"/>
        </w:rPr>
        <w:t>Note. Grouped bar graph (Nicol &amp; Pexman, 2010b). Error bars = 95% CIs of the mean. Only figure retained for publishing economy.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kill_prepost_gg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i w:val="0"/>
          <w:color w:val="1F4E79"/>
          <w:sz w:val="28"/>
        </w:rPr>
        <w:t>References (selected)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0"/>
        </w:rPr>
        <w:t>Creswell, J. W., &amp; Plano Clark, V. L. (2018). Designing and conducting mixed methods research (3rd ed.). SAGE.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0"/>
        </w:rPr>
        <w:t>Field, A. (2013). Discovering statistics using IBM SPSS Statistics (4th ed.). SAGE.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0"/>
        </w:rPr>
        <w:t>Nicol, A. A. M., &amp; Pexman, P. M. (2010a). Presenting your findings: A practical guide for creating tables (6th ed.). APA.</w:t>
      </w:r>
    </w:p>
    <w:p>
      <w:pPr>
        <w:spacing w:after="160" w:line="360" w:lineRule="auto"/>
      </w:pPr>
      <w:r>
        <w:rPr>
          <w:rFonts w:ascii="Times New Roman" w:hAnsi="Times New Roman"/>
          <w:b w:val="0"/>
          <w:i w:val="0"/>
          <w:sz w:val="20"/>
        </w:rPr>
        <w:t>Nicol, A. A. M., &amp; Pexman, P. M. (2010b). Displaying your findings: A practical guide for creating figures, posters, and presentations (6th ed.). APA.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