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Ödev: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Hibe desteği kazanırsanız, Tübitak sözleşmeyi şirketiniz ve onu temsil eden basiretli tüccar olarak sizinle imzalayacak. Şirket demek kar elde etmek için kurulmuş organizasyon demek. Şirket kurma amacıyla yola çıkanlar olarak yapacağınız ticari faaliyetlerin finansal ayak izlerinin neler olacağını, nasıl kayıt altına alınacağını bilmekle yükümlüsünüz.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Fonts w:ascii="Verdana" w:cs="Verdana" w:eastAsia="Verdana" w:hAnsi="Verdana"/>
          <w:rtl w:val="0"/>
        </w:rPr>
        <w:t xml:space="preserve">Bu konuda kendinizi geliştirmek için pek çok kaynak var ama hızlı ve yeterli bilgiyi almanız için Khan Academy’nin eğitimi çok faydalı buluyorum. Beğenirseniz, bağışlarınızı esirgemeyin :) </w:t>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rPr>
      </w:pPr>
      <w:hyperlink r:id="rId5">
        <w:r w:rsidDel="00000000" w:rsidR="00000000" w:rsidRPr="00000000">
          <w:rPr>
            <w:rFonts w:ascii="Verdana" w:cs="Verdana" w:eastAsia="Verdana" w:hAnsi="Verdana"/>
            <w:color w:val="1155cc"/>
            <w:u w:val="single"/>
            <w:rtl w:val="0"/>
          </w:rPr>
          <w:t xml:space="preserve">Cash versus accrual accounting</w:t>
        </w:r>
      </w:hyperlink>
      <w:r w:rsidDel="00000000" w:rsidR="00000000" w:rsidRPr="00000000">
        <w:rPr>
          <w:rFonts w:ascii="Verdana" w:cs="Verdana" w:eastAsia="Verdana" w:hAnsi="Verdana"/>
          <w:rtl w:val="0"/>
        </w:rPr>
        <w:t xml:space="preserve"> bölümünü tamamlayın </w:t>
      </w:r>
    </w:p>
    <w:p w:rsidR="00000000" w:rsidDel="00000000" w:rsidP="00000000" w:rsidRDefault="00000000" w:rsidRPr="00000000">
      <w:pPr>
        <w:numPr>
          <w:ilvl w:val="0"/>
          <w:numId w:val="1"/>
        </w:numPr>
        <w:pBdr/>
        <w:ind w:left="720" w:hanging="360"/>
        <w:contextualSpacing w:val="1"/>
        <w:rPr>
          <w:rFonts w:ascii="Verdana" w:cs="Verdana" w:eastAsia="Verdana" w:hAnsi="Verdana"/>
        </w:rPr>
      </w:pPr>
      <w:hyperlink r:id="rId6">
        <w:r w:rsidDel="00000000" w:rsidR="00000000" w:rsidRPr="00000000">
          <w:rPr>
            <w:rFonts w:ascii="Verdana" w:cs="Verdana" w:eastAsia="Verdana" w:hAnsi="Verdana"/>
            <w:color w:val="1155cc"/>
            <w:u w:val="single"/>
            <w:rtl w:val="0"/>
          </w:rPr>
          <w:t xml:space="preserve">Three core financial statements</w:t>
        </w:r>
      </w:hyperlink>
      <w:r w:rsidDel="00000000" w:rsidR="00000000" w:rsidRPr="00000000">
        <w:rPr>
          <w:rFonts w:ascii="Verdana" w:cs="Verdana" w:eastAsia="Verdana" w:hAnsi="Verdana"/>
          <w:rtl w:val="0"/>
        </w:rPr>
        <w:t xml:space="preserve"> bölümünü tamamlayın, pratikleri tamamlayın. </w:t>
      </w:r>
    </w:p>
    <w:p w:rsidR="00000000" w:rsidDel="00000000" w:rsidP="00000000" w:rsidRDefault="00000000" w:rsidRPr="00000000">
      <w:pPr>
        <w:numPr>
          <w:ilvl w:val="0"/>
          <w:numId w:val="1"/>
        </w:numPr>
        <w:pBdr/>
        <w:ind w:left="720" w:hanging="360"/>
        <w:contextualSpacing w:val="1"/>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Depreciation and amortization</w:t>
        </w:r>
      </w:hyperlink>
      <w:r w:rsidDel="00000000" w:rsidR="00000000" w:rsidRPr="00000000">
        <w:rPr>
          <w:rFonts w:ascii="Verdana" w:cs="Verdana" w:eastAsia="Verdana" w:hAnsi="Verdana"/>
          <w:rtl w:val="0"/>
        </w:rPr>
        <w:t xml:space="preserve"> bölümünü de bilmeniz gerekiyor ama opsiyoneldir. </w:t>
      </w:r>
    </w:p>
    <w:p w:rsidR="00000000" w:rsidDel="00000000" w:rsidP="00000000" w:rsidRDefault="00000000" w:rsidRPr="00000000">
      <w:pPr>
        <w:numPr>
          <w:ilvl w:val="0"/>
          <w:numId w:val="1"/>
        </w:numPr>
        <w:pBdr/>
        <w:ind w:left="720" w:hanging="360"/>
        <w:contextualSpacing w:val="1"/>
        <w:rPr>
          <w:rFonts w:ascii="Verdana" w:cs="Verdana" w:eastAsia="Verdana" w:hAnsi="Verdana"/>
        </w:rPr>
      </w:pPr>
      <w:hyperlink r:id="rId8">
        <w:r w:rsidDel="00000000" w:rsidR="00000000" w:rsidRPr="00000000">
          <w:rPr>
            <w:rFonts w:ascii="Verdana" w:cs="Verdana" w:eastAsia="Verdana" w:hAnsi="Verdana"/>
            <w:color w:val="1155cc"/>
            <w:u w:val="single"/>
            <w:rtl w:val="0"/>
          </w:rPr>
          <w:t xml:space="preserve">http://bigg.tubitak.gov.tr/basvuru.htm</w:t>
        </w:r>
      </w:hyperlink>
      <w:r w:rsidDel="00000000" w:rsidR="00000000" w:rsidRPr="00000000">
        <w:rPr>
          <w:rFonts w:ascii="Verdana" w:cs="Verdana" w:eastAsia="Verdana" w:hAnsi="Verdana"/>
          <w:rtl w:val="0"/>
        </w:rPr>
        <w:t xml:space="preserve"> adresindeki finansal tablolar dosyasını indirip, girişiminiz için doldurun. </w:t>
      </w:r>
    </w:p>
    <w:p w:rsidR="00000000" w:rsidDel="00000000" w:rsidP="00000000" w:rsidRDefault="00000000" w:rsidRPr="00000000">
      <w:pPr>
        <w:numPr>
          <w:ilvl w:val="0"/>
          <w:numId w:val="1"/>
        </w:numPr>
        <w:pBdr/>
        <w:ind w:left="720" w:hanging="360"/>
        <w:contextualSpacing w:val="1"/>
        <w:rPr>
          <w:rFonts w:ascii="Verdana" w:cs="Verdana" w:eastAsia="Verdana" w:hAnsi="Verdana"/>
        </w:rPr>
      </w:pPr>
      <w:r w:rsidDel="00000000" w:rsidR="00000000" w:rsidRPr="00000000">
        <w:rPr>
          <w:rFonts w:ascii="Verdana" w:cs="Verdana" w:eastAsia="Verdana" w:hAnsi="Verdana"/>
          <w:rtl w:val="0"/>
        </w:rPr>
        <w:t xml:space="preserve">İş Modeli - 3. Hafta adlı dosyayı, İş Modeli - 4. Hafta olarak farklı kaydedip güncelleyin. Önceki hafta yazdıklarınızı silmeyin </w:t>
      </w:r>
      <w:r w:rsidDel="00000000" w:rsidR="00000000" w:rsidRPr="00000000">
        <w:rPr>
          <w:rFonts w:ascii="Verdana" w:cs="Verdana" w:eastAsia="Verdana" w:hAnsi="Verdana"/>
          <w:strike w:val="1"/>
          <w:rtl w:val="0"/>
        </w:rPr>
        <w:t xml:space="preserve">üstünü çizin (strikethrough)</w:t>
      </w:r>
      <w:r w:rsidDel="00000000" w:rsidR="00000000" w:rsidRPr="00000000">
        <w:rPr>
          <w:rFonts w:ascii="Verdana" w:cs="Verdana" w:eastAsia="Verdana" w:hAnsi="Verdana"/>
          <w:rtl w:val="0"/>
        </w:rPr>
        <w:t xml:space="preserve"> , nasıl ilerlediğimizi takip edebilelim. </w:t>
      </w:r>
    </w:p>
    <w:p w:rsidR="00000000" w:rsidDel="00000000" w:rsidP="00000000" w:rsidRDefault="00000000" w:rsidRPr="00000000">
      <w:pPr>
        <w:numPr>
          <w:ilvl w:val="0"/>
          <w:numId w:val="1"/>
        </w:numPr>
        <w:pBdr/>
        <w:ind w:left="720" w:hanging="360"/>
        <w:contextualSpacing w:val="1"/>
        <w:rPr>
          <w:rFonts w:ascii="Verdana" w:cs="Verdana" w:eastAsia="Verdana" w:hAnsi="Verdana"/>
          <w:u w:val="none"/>
        </w:rPr>
      </w:pPr>
      <w:r w:rsidDel="00000000" w:rsidR="00000000" w:rsidRPr="00000000">
        <w:rPr>
          <w:rFonts w:ascii="Verdana" w:cs="Verdana" w:eastAsia="Verdana" w:hAnsi="Verdana"/>
          <w:rtl w:val="0"/>
        </w:rPr>
        <w:t xml:space="preserve">Sunum formatında sunumunuzu hazırlayın. </w:t>
      </w: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rPr>
      </w:pPr>
      <w:r w:rsidDel="00000000" w:rsidR="00000000" w:rsidRPr="00000000">
        <w:rPr>
          <w:rtl w:val="0"/>
        </w:rPr>
      </w:r>
    </w:p>
    <w:sectPr>
      <w:pgSz w:h="16838" w:w="11906"/>
      <w:pgMar w:bottom="1411.2" w:top="1411.2" w:left="1411.2" w:right="1411.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hanacademy.org/economics-finance-domain/core-finance/accounting-and-financial-stateme/cash-accrual-accounting/v/cash-accounting" TargetMode="External"/><Relationship Id="rId6" Type="http://schemas.openxmlformats.org/officeDocument/2006/relationships/hyperlink" Target="https://www.khanacademy.org/economics-finance-domain/core-finance/accounting-and-financial-stateme/financial-statements-tutorial/v/balance-sheet-and-income-statement-relationship" TargetMode="External"/><Relationship Id="rId7" Type="http://schemas.openxmlformats.org/officeDocument/2006/relationships/hyperlink" Target="https://www.khanacademy.org/economics-finance-domain/core-finance/accounting-and-financial-stateme/depreciation-amortization-tut/v/expensing-a-truck-leads-to-inconsistent-performance" TargetMode="External"/><Relationship Id="rId8" Type="http://schemas.openxmlformats.org/officeDocument/2006/relationships/hyperlink" Target="http://bigg.tubitak.gov.tr/basvuru.htm" TargetMode="External"/></Relationships>
</file>