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1800"/>
        <w:ind/>
        <w:rPr/>
      </w:pPr>
    </w:p>
    <w:p>
      <w:pPr>
        <w:pBdr/>
        <w:pStyle w:val="Normal"/>
        <w:spacing w:after="40"/>
        <w:ind/>
        <w:jc w:val="center"/>
        <w:rPr/>
      </w:pPr>
      <w:r>
        <w:rPr>
          <w:rFonts w:ascii="Arial" w:eastAsia="Arial" w:hAnsi="Arial" w:cs="Arial"/>
          <w:b/>
          <w:bCs/>
          <w:color w:val="0D1B2A"/>
          <w:sz w:val="64"/>
          <w:szCs w:val="64"/>
        </w:rPr>
        <w:t xml:space="preserve">CUSTOMER SHOPPING</w:t>
      </w:r>
    </w:p>
    <w:p>
      <w:pPr>
        <w:pBdr>
          <w:bottom w:val="single" w:color="028090" w:sz="8" w:space="8"/>
        </w:pBdr>
        <w:pStyle w:val="Normal"/>
        <w:spacing w:after="200"/>
        <w:ind/>
        <w:jc w:val="center"/>
        <w:rPr/>
      </w:pPr>
      <w:r>
        <w:rPr>
          <w:rFonts w:ascii="Arial" w:eastAsia="Arial" w:hAnsi="Arial" w:cs="Arial"/>
          <w:b/>
          <w:bCs/>
          <w:color w:val="028090"/>
          <w:sz w:val="64"/>
          <w:szCs w:val="64"/>
        </w:rPr>
        <w:t xml:space="preserve">BEHAVIOR ANALYSIS</w:t>
      </w:r>
    </w:p>
    <w:p>
      <w:pPr>
        <w:pBdr/>
        <w:pStyle w:val="Normal"/>
        <w:spacing w:before="0" w:after="200"/>
        <w:ind/>
        <w:rPr/>
      </w:pPr>
    </w:p>
    <w:p>
      <w:pPr>
        <w:pBdr/>
        <w:pStyle w:val="Normal"/>
        <w:spacing w:after="600"/>
        <w:ind/>
        <w:jc w:val="center"/>
        <w:rPr/>
      </w:pPr>
      <w:r>
        <w:rPr>
          <w:rFonts w:ascii="Arial" w:eastAsia="Arial" w:hAnsi="Arial" w:cs="Arial"/>
          <w:color w:val="64748B"/>
          <w:sz w:val="24"/>
          <w:szCs w:val="24"/>
        </w:rPr>
        <w:t xml:space="preserve">Uncovering Spending Patterns, Customer Segmentation &amp; Strategic Insights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120" w:type="dxa"/>
              <w:left w:w="140" w:type="dxa"/>
              <w:bottom w:w="120" w:type="dxa"/>
              <w:right w:w="14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center"/>
              <w:rPr/>
            </w:pPr>
            <w:r>
              <w:rPr>
                <w:rFonts w:ascii="Arial" w:eastAsia="Arial" w:hAnsi="Arial" w:cs="Arial"/>
                <w:b/>
                <w:bCs/>
                <w:color w:val="0D1B2A"/>
                <w:sz w:val="40"/>
                <w:szCs w:val="40"/>
              </w:rPr>
              <w:t xml:space="preserve">3,900</w:t>
            </w:r>
          </w:p>
          <w:p>
            <w:pPr>
              <w:pBdr/>
              <w:pStyle w:val="Normal"/>
              <w:spacing/>
              <w:ind/>
              <w:jc w:val="center"/>
              <w:rPr/>
            </w:pPr>
            <w:r>
              <w:rPr>
                <w:rFonts w:ascii="Arial" w:eastAsia="Arial" w:hAnsi="Arial" w:cs="Arial"/>
                <w:color w:val="64748B"/>
                <w:sz w:val="18"/>
                <w:szCs w:val="18"/>
              </w:rPr>
              <w:t xml:space="preserve">Transactions</w:t>
            </w:r>
          </w:p>
        </w:tc>
        <w:tc>
          <w:tcPr>
            <w:tcW w:w="2340" w:type="dxa"/>
            <w:tcMar>
              <w:top w:w="120" w:type="dxa"/>
              <w:left w:w="140" w:type="dxa"/>
              <w:bottom w:w="120" w:type="dxa"/>
              <w:right w:w="14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center"/>
              <w:rPr/>
            </w:pPr>
            <w:r>
              <w:rPr>
                <w:rFonts w:ascii="Arial" w:eastAsia="Arial" w:hAnsi="Arial" w:cs="Arial"/>
                <w:b/>
                <w:bCs/>
                <w:color w:val="0D1B2A"/>
                <w:sz w:val="40"/>
                <w:szCs w:val="40"/>
              </w:rPr>
              <w:t xml:space="preserve">18</w:t>
            </w:r>
          </w:p>
          <w:p>
            <w:pPr>
              <w:pBdr/>
              <w:pStyle w:val="Normal"/>
              <w:spacing/>
              <w:ind/>
              <w:jc w:val="center"/>
              <w:rPr/>
            </w:pPr>
            <w:r>
              <w:rPr>
                <w:rFonts w:ascii="Arial" w:eastAsia="Arial" w:hAnsi="Arial" w:cs="Arial"/>
                <w:color w:val="64748B"/>
                <w:sz w:val="18"/>
                <w:szCs w:val="18"/>
              </w:rPr>
              <w:t xml:space="preserve">Features</w:t>
            </w:r>
          </w:p>
        </w:tc>
        <w:tc>
          <w:tcPr>
            <w:tcW w:w="2340" w:type="dxa"/>
            <w:tcMar>
              <w:top w:w="120" w:type="dxa"/>
              <w:left w:w="140" w:type="dxa"/>
              <w:bottom w:w="120" w:type="dxa"/>
              <w:right w:w="14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center"/>
              <w:rPr/>
            </w:pPr>
            <w:r>
              <w:rPr>
                <w:rFonts w:ascii="Arial" w:eastAsia="Arial" w:hAnsi="Arial" w:cs="Arial"/>
                <w:b/>
                <w:bCs/>
                <w:color w:val="0D1B2A"/>
                <w:sz w:val="40"/>
                <w:szCs w:val="40"/>
              </w:rPr>
              <w:t xml:space="preserve">4</w:t>
            </w:r>
          </w:p>
          <w:p>
            <w:pPr>
              <w:pBdr/>
              <w:pStyle w:val="Normal"/>
              <w:spacing/>
              <w:ind/>
              <w:jc w:val="center"/>
              <w:rPr/>
            </w:pPr>
            <w:r>
              <w:rPr>
                <w:rFonts w:ascii="Arial" w:eastAsia="Arial" w:hAnsi="Arial" w:cs="Arial"/>
                <w:color w:val="64748B"/>
                <w:sz w:val="18"/>
                <w:szCs w:val="18"/>
              </w:rPr>
              <w:t xml:space="preserve">Categories</w:t>
            </w:r>
          </w:p>
        </w:tc>
        <w:tc>
          <w:tcPr>
            <w:tcW w:w="2340" w:type="dxa"/>
            <w:tcMar>
              <w:top w:w="120" w:type="dxa"/>
              <w:left w:w="140" w:type="dxa"/>
              <w:bottom w:w="120" w:type="dxa"/>
              <w:right w:w="14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center"/>
              <w:rPr/>
            </w:pPr>
            <w:r>
              <w:rPr>
                <w:rFonts w:ascii="Arial" w:eastAsia="Arial" w:hAnsi="Arial" w:cs="Arial"/>
                <w:b/>
                <w:bCs/>
                <w:color w:val="0D1B2A"/>
                <w:sz w:val="40"/>
                <w:szCs w:val="40"/>
              </w:rPr>
              <w:t xml:space="preserve">50</w:t>
            </w:r>
          </w:p>
          <w:p>
            <w:pPr>
              <w:pBdr/>
              <w:pStyle w:val="Normal"/>
              <w:spacing/>
              <w:ind/>
              <w:jc w:val="center"/>
              <w:rPr/>
            </w:pPr>
            <w:r>
              <w:rPr>
                <w:rFonts w:ascii="Arial" w:eastAsia="Arial" w:hAnsi="Arial" w:cs="Arial"/>
                <w:color w:val="64748B"/>
                <w:sz w:val="18"/>
                <w:szCs w:val="18"/>
              </w:rPr>
              <w:t xml:space="preserve">US States</w:t>
            </w:r>
          </w:p>
        </w:tc>
      </w:tr>
    </w:tbl>
    <w:p>
      <w:pPr>
        <w:pBdr/>
        <w:pStyle w:val="Normal"/>
        <w:spacing w:before="0" w:after="600"/>
        <w:ind/>
        <w:rPr/>
      </w:pPr>
    </w:p>
    <w:p>
      <w:pPr>
        <w:pBdr/>
        <w:pStyle w:val="Normal"/>
        <w:spacing/>
        <w:ind/>
        <w:jc w:val="center"/>
        <w:rPr/>
      </w:pPr>
      <w:r>
        <w:rPr>
          <w:rFonts w:ascii="Arial" w:eastAsia="Arial" w:hAnsi="Arial" w:cs="Arial"/>
          <w:b/>
          <w:bCs/>
          <w:color w:val="0D1B2A"/>
          <w:sz w:val="22"/>
          <w:szCs w:val="22"/>
        </w:rPr>
        <w:t xml:space="preserve">Prepared by: Mehnaz Yeasmin</w:t>
      </w:r>
    </w:p>
    <w:p>
      <w:pPr>
        <w:pBdr/>
        <w:pStyle w:val="Normal"/>
        <w:spacing/>
        <w:ind/>
        <w:jc w:val="center"/>
        <w:rPr/>
      </w:pPr>
      <w:r>
        <w:rPr>
          <w:rFonts w:ascii="Arial" w:eastAsia="Arial" w:hAnsi="Arial" w:cs="Arial"/>
          <w:color w:val="64748B"/>
          <w:sz w:val="20"/>
          <w:szCs w:val="20"/>
        </w:rPr>
        <w:t xml:space="preserve">Tools: Python (Pandas, NumPy, Seaborn)  •  PostgreSQL + SQLAlchemy  •  Power BI</w:t>
      </w:r>
    </w:p>
    <w:p>
      <w:pPr>
        <w:pBdr/>
        <w:pStyle w:val="Normal"/>
        <w:spacing w:before="0" w:after="100"/>
        <w:ind/>
        <w:rPr/>
      </w:pPr>
    </w:p>
    <w:p>
      <w:pPr>
        <w:pBdr/>
        <w:pStyle w:val="Normal"/>
        <w:spacing/>
        <w:ind/>
        <w:jc w:val="center"/>
        <w:rPr/>
      </w:pPr>
    </w:p>
    <w:p>
      <w:pPr>
        <w:pBdr/>
        <w:pStyle w:val="Normal"/>
        <w:spacing/>
        <w:ind/>
        <w:rPr/>
      </w:pPr>
      <w:r>
        <w:rPr/>
        <w:br w:type="page"/>
      </w:r>
    </w:p>
    <w:p>
      <w:pPr>
        <w:pBdr/>
        <w:spacing/>
        <w:ind/>
        <w:rPr/>
        <w:sectPr>
          <w:type w:val="nextPage"/>
          <w:pgSz w:w="12240" w:h="15840"/>
          <w:pgMar w:top="1440" w:right="1440" w:bottom="1440" w:left="1440" w:header="708" w:footer="708" w:gutter="0"/>
          <w:pgNumType w:fmt="Arabic"/>
          <w:pgBorders/>
          <w:endnotePr>
            <w:pos w:val="docEnd"/>
            <w:numFmt w:val="lowerRoman"/>
            <w:numRestart w:val="continuous"/>
            <w:numStart w:val="1"/>
          </w:endnotePr>
        </w:sect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1. Executive Summary</w:t>
      </w:r>
    </w:p>
    <w:p>
      <w:pPr>
        <w:pBdr/>
        <w:pStyle w:val="Normal"/>
        <w:spacing w:before="0" w:after="100"/>
        <w:ind/>
        <w:jc w:val="both"/>
        <w:rPr/>
      </w:pPr>
      <w:r>
        <w:rPr>
          <w:rFonts w:ascii="Arial" w:eastAsia="Arial" w:hAnsi="Arial" w:cs="Arial"/>
          <w:color w:val="334155"/>
          <w:sz w:val="22"/>
          <w:szCs w:val="22"/>
        </w:rPr>
        <w:t xml:space="preserve">This report presents a comprehensive analysis of customer shopping behavior based on 3,900 retail transactions. The study leverages Python for data preprocessing and exploratory analysis, PostgreSQL for SQL-</w:t>
      </w:r>
      <w:r>
        <w:rPr>
          <w:rFonts w:ascii="Arial" w:eastAsia="Arial" w:hAnsi="Arial" w:cs="Arial"/>
          <w:color w:val="334155"/>
          <w:sz w:val="22"/>
          <w:szCs w:val="22"/>
        </w:rPr>
        <w:t xml:space="preserve">based querying, and Power BI for dashboard visualization. The objective is to equip business stakeholders with actionable intelligence to improve customer engagement, optimize marketing spend, and drive revenue growth.</w:t>
      </w:r>
    </w:p>
    <w:p>
      <w:pPr>
        <w:pBdr/>
        <w:pStyle w:val="Normal"/>
        <w:spacing w:before="0" w:after="80"/>
        <w:ind/>
        <w:rPr/>
      </w:pPr>
    </w:p>
    <w:p>
      <w:pPr>
        <w:pBdr/>
        <w:pStyle w:val="Normal"/>
        <w:spacing w:before="0" w:after="100"/>
        <w:ind/>
        <w:jc w:val="both"/>
        <w:rPr/>
      </w:pPr>
      <w:r>
        <w:rPr>
          <w:rFonts w:ascii="Arial" w:eastAsia="Arial" w:hAnsi="Arial" w:cs="Arial"/>
          <w:b/>
          <w:bCs/>
          <w:color w:val="334155"/>
          <w:sz w:val="22"/>
          <w:szCs w:val="22"/>
        </w:rPr>
        <w:t xml:space="preserve">Key findings at a glance:</w:t>
      </w:r>
    </w:p>
    <w:p>
      <w:pPr>
        <w:pBdr/>
        <w:pStyle w:val="List Paragraph"/>
        <w:numPr>
          <w:ilvl w:val="0"/>
          <w:numId w:val="5"/>
        </w:numPr>
        <w:spacing w:before="40" w:after="40"/>
        <w:ind/>
        <w:rPr/>
      </w:pPr>
      <w:r>
        <w:rPr>
          <w:rFonts w:ascii="Arial" w:eastAsia="Arial" w:hAnsi="Arial" w:cs="Arial"/>
          <w:color w:val="334155"/>
          <w:sz w:val="22"/>
          <w:szCs w:val="22"/>
        </w:rPr>
        <w:t xml:space="preserve">Male customers contribute approximately 67% of total revenue, indicating an untapped opportunity in female-focused marketing.</w:t>
      </w:r>
    </w:p>
    <w:p>
      <w:pPr>
        <w:pBdr/>
        <w:pStyle w:val="List Paragraph"/>
        <w:numPr>
          <w:ilvl w:val="0"/>
          <w:numId w:val="5"/>
        </w:numPr>
        <w:spacing w:before="40" w:after="40"/>
        <w:ind/>
        <w:rPr/>
      </w:pPr>
      <w:r>
        <w:rPr>
          <w:rFonts w:ascii="Arial" w:eastAsia="Arial" w:hAnsi="Arial" w:cs="Arial"/>
          <w:color w:val="334155"/>
          <w:sz w:val="22"/>
          <w:szCs w:val="22"/>
        </w:rPr>
        <w:t xml:space="preserve">Discount buyers who exceed the average spend ($59.76) are high-value targets for loyalty program conversion.</w:t>
      </w:r>
    </w:p>
    <w:p>
      <w:pPr>
        <w:pBdr/>
        <w:pStyle w:val="List Paragraph"/>
        <w:numPr>
          <w:ilvl w:val="0"/>
          <w:numId w:val="5"/>
        </w:numPr>
        <w:spacing w:before="40" w:after="40"/>
        <w:ind/>
        <w:rPr/>
      </w:pPr>
      <w:r>
        <w:rPr>
          <w:rFonts w:ascii="Arial" w:eastAsia="Arial" w:hAnsi="Arial" w:cs="Arial"/>
          <w:color w:val="334155"/>
          <w:sz w:val="22"/>
          <w:szCs w:val="22"/>
        </w:rPr>
        <w:t xml:space="preserve">Middle-aged customers (45–57) represent the highest revenue-contributing age segment.</w:t>
      </w:r>
    </w:p>
    <w:p>
      <w:pPr>
        <w:pBdr/>
        <w:pStyle w:val="List Paragraph"/>
        <w:numPr>
          <w:ilvl w:val="0"/>
          <w:numId w:val="5"/>
        </w:numPr>
        <w:spacing w:before="40" w:after="40"/>
        <w:ind/>
        <w:rPr/>
      </w:pPr>
      <w:r>
        <w:rPr>
          <w:rFonts w:ascii="Arial" w:eastAsia="Arial" w:hAnsi="Arial" w:cs="Arial"/>
          <w:color w:val="334155"/>
          <w:sz w:val="22"/>
          <w:szCs w:val="22"/>
        </w:rPr>
        <w:t xml:space="preserve">Over 51% of customers fall into the Returning segment, with 44% classified as Loyal based on purchase history.</w:t>
      </w:r>
    </w:p>
    <w:p>
      <w:pPr>
        <w:pBdr/>
        <w:pStyle w:val="List Paragraph"/>
        <w:numPr>
          <w:ilvl w:val="0"/>
          <w:numId w:val="5"/>
        </w:numPr>
        <w:spacing w:before="40" w:after="40"/>
        <w:ind/>
        <w:rPr/>
      </w:pPr>
      <w:r>
        <w:rPr>
          <w:rFonts w:ascii="Arial" w:eastAsia="Arial" w:hAnsi="Arial" w:cs="Arial"/>
          <w:color w:val="334155"/>
          <w:sz w:val="22"/>
          <w:szCs w:val="22"/>
        </w:rPr>
        <w:t xml:space="preserve">Clothing dominates all categories; Blouse and T-Shirt are the top-ordered individual products.</w:t>
      </w:r>
    </w:p>
    <w:p>
      <w:pPr>
        <w:pBdr/>
        <w:pStyle w:val="List Paragraph"/>
        <w:numPr>
          <w:ilvl w:val="0"/>
          <w:numId w:val="5"/>
        </w:numPr>
        <w:spacing w:before="40" w:after="40"/>
        <w:ind/>
        <w:rPr/>
      </w:pPr>
      <w:r>
        <w:rPr>
          <w:rFonts w:ascii="Arial" w:eastAsia="Arial" w:hAnsi="Arial" w:cs="Arial"/>
          <w:color w:val="334155"/>
          <w:sz w:val="22"/>
          <w:szCs w:val="22"/>
        </w:rPr>
        <w:t xml:space="preserve">Product review ratings are tightly clustered (3.78–3.88), suggesting quality perception is uniformly positive.</w:t>
      </w:r>
    </w:p>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2. Business Problem &amp; Objectives</w:t>
      </w:r>
    </w:p>
    <w:p>
      <w:pPr>
        <w:pBdr/>
        <w:pStyle w:val="Heading 2"/>
        <w:spacing w:before="280" w:after="100"/>
        <w:ind/>
        <w:rPr/>
      </w:pPr>
      <w:r>
        <w:rPr>
          <w:rFonts w:ascii="Arial" w:eastAsia="Arial" w:hAnsi="Arial" w:cs="Arial"/>
          <w:b/>
          <w:bCs/>
          <w:color w:val="028090"/>
          <w:sz w:val="26"/>
          <w:szCs w:val="26"/>
        </w:rPr>
        <w:t xml:space="preserve">2.1 Business Context</w:t>
      </w:r>
    </w:p>
    <w:p>
      <w:pPr>
        <w:pBdr/>
        <w:pStyle w:val="Normal"/>
        <w:spacing w:before="0" w:after="100"/>
        <w:ind/>
        <w:jc w:val="both"/>
        <w:rPr/>
      </w:pPr>
      <w:r>
        <w:rPr>
          <w:rFonts w:ascii="Arial" w:eastAsia="Arial" w:hAnsi="Arial" w:cs="Arial"/>
          <w:color w:val="334155"/>
          <w:sz w:val="22"/>
          <w:szCs w:val="22"/>
        </w:rPr>
        <w:t xml:space="preserve">A leading retail company observed shifts in purchasing patterns across demographics, product categories, and sales channels. Management sought to understand which factors—such as discounts, seasonal trends, payment preferences, and customer loyalty—drive consumer decisions and repeat purchases.</w:t>
      </w:r>
    </w:p>
    <w:p>
      <w:pPr>
        <w:pBdr/>
        <w:pStyle w:val="Normal"/>
        <w:spacing w:before="0" w:after="60"/>
        <w:ind/>
        <w:rPr/>
      </w:pPr>
    </w:p>
    <w:p>
      <w:pPr>
        <w:pBdr/>
        <w:pStyle w:val="Normal"/>
        <w:spacing w:before="80" w:after="80"/>
        <w:ind w:left="360" w:right="360"/>
        <w:rPr/>
      </w:pPr>
      <w:r>
        <w:rPr>
          <w:rFonts w:ascii="Arial" w:eastAsia="Arial" w:hAnsi="Arial" w:cs="Arial"/>
          <w:b/>
          <w:bCs/>
          <w:color w:val="0D1B2A"/>
          <w:sz w:val="22"/>
          <w:szCs w:val="22"/>
        </w:rPr>
        <w:t xml:space="preserve">Central Research Question: </w:t>
      </w:r>
      <w:r>
        <w:rPr>
          <w:rFonts w:ascii="Arial" w:eastAsia="Arial" w:hAnsi="Arial" w:cs="Arial"/>
          <w:color w:val="334155"/>
          <w:sz w:val="22"/>
          <w:szCs w:val="22"/>
        </w:rPr>
        <w:t xml:space="preserve">“How can the company leverage consumer shopping data to identify trends, improve customer engagement, and optimize marketing and product strategies?”</w:t>
      </w:r>
    </w:p>
    <w:p>
      <w:pPr>
        <w:pBdr/>
        <w:pStyle w:val="Normal"/>
        <w:spacing w:before="0" w:after="80"/>
        <w:ind/>
        <w:rPr/>
      </w:pPr>
    </w:p>
    <w:p>
      <w:pPr>
        <w:pBdr/>
        <w:pStyle w:val="Heading 2"/>
        <w:spacing w:before="280" w:after="100"/>
        <w:ind/>
        <w:rPr/>
      </w:pPr>
      <w:r>
        <w:rPr>
          <w:rFonts w:ascii="Arial" w:eastAsia="Arial" w:hAnsi="Arial" w:cs="Arial"/>
          <w:b/>
          <w:bCs/>
          <w:color w:val="028090"/>
          <w:sz w:val="26"/>
          <w:szCs w:val="26"/>
        </w:rPr>
        <w:t xml:space="preserve">2.2 Project Objectives</w:t>
      </w:r>
    </w:p>
    <w:p>
      <w:pPr>
        <w:pBdr/>
        <w:pStyle w:val="Normal"/>
        <w:spacing w:before="0" w:after="100"/>
        <w:ind/>
        <w:jc w:val="both"/>
        <w:rPr/>
      </w:pPr>
      <w:r>
        <w:rPr>
          <w:rFonts w:ascii="Arial" w:eastAsia="Arial" w:hAnsi="Arial" w:cs="Arial"/>
          <w:color w:val="334155"/>
          <w:sz w:val="22"/>
          <w:szCs w:val="22"/>
        </w:rPr>
        <w:t xml:space="preserve">The analysis was structured around ten specific business questions designed to address the central research question:</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20"/>
        <w:gridCol w:w="86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w:t>
            </w:r>
          </w:p>
        </w:tc>
        <w:tc>
          <w:tcPr>
            <w:tcW w:w="86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Objective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Q1</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Measure total revenue split between male and female customers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Q2</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Identify discount buyers who still spend above the average purchase amount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Q3</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Rank the top 5 products by average customer review rating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Q4</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Compare average purchase amounts between Standard and Express shipping methods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Q5</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Determine whether subscribed customers spend more than non-subscribers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Q6</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Find the top 5 products with the highest percentage of discount-applied purchases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Q7</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Segment customers into New, Returning, and Loyal using a CTE-based classification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Q8</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Rank the top 3 most purchased products within each product category (Window Function)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Q9</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Assess whether repeat buyers (5+ purchases) are more likely to be subscribers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Q10</w:t>
            </w:r>
          </w:p>
        </w:tc>
        <w:tc>
          <w:tcPr>
            <w:tcW w:w="86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Quantify revenue contribution by age group</w:t>
            </w:r>
          </w:p>
        </w:tc>
      </w:tr>
    </w:tbl>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3. Dataset Summary</w:t>
      </w:r>
    </w:p>
    <w:p>
      <w:pPr>
        <w:pBdr/>
        <w:pStyle w:val="Heading 2"/>
        <w:spacing w:before="280" w:after="100"/>
        <w:ind/>
        <w:rPr/>
      </w:pPr>
      <w:r>
        <w:rPr>
          <w:rFonts w:ascii="Arial" w:eastAsia="Arial" w:hAnsi="Arial" w:cs="Arial"/>
          <w:b/>
          <w:bCs/>
          <w:color w:val="028090"/>
          <w:sz w:val="26"/>
          <w:szCs w:val="26"/>
        </w:rPr>
        <w:t xml:space="preserve">3.1 Source &amp; Structure</w:t>
      </w:r>
    </w:p>
    <w:p>
      <w:pPr>
        <w:pBdr/>
        <w:pStyle w:val="Normal"/>
        <w:spacing w:before="0" w:after="100"/>
        <w:ind/>
        <w:jc w:val="both"/>
        <w:rPr/>
      </w:pPr>
      <w:r>
        <w:rPr>
          <w:rFonts w:ascii="Arial" w:eastAsia="Arial" w:hAnsi="Arial" w:cs="Arial"/>
          <w:color w:val="334155"/>
          <w:sz w:val="22"/>
          <w:szCs w:val="22"/>
        </w:rPr>
        <w:t xml:space="preserve">The dataset consists of 3,900 customer transaction records with 18 original columns spanning customer demographics, purchase details, behavioral attributes, and payment/shipping preferences. One engineered column (age_group) and one derived numeric column (purchase_frequency_days) were added during preprocessing.</w:t>
      </w:r>
    </w:p>
    <w:p>
      <w:pPr>
        <w:pBdr/>
        <w:pStyle w:val="Normal"/>
        <w:spacing w:before="0" w:after="6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00"/>
        <w:gridCol w:w="3480"/>
        <w:gridCol w:w="34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Feature Group</w:t>
            </w:r>
          </w:p>
        </w:tc>
        <w:tc>
          <w:tcPr>
            <w:tcW w:w="34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Columns</w:t>
            </w:r>
          </w:p>
        </w:tc>
        <w:tc>
          <w:tcPr>
            <w:tcW w:w="34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Data 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Demographics</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Age, Gender, Location</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int64, str, 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Purchase Details</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Item Purchased, Category, Purchase Amount, Season, Size, Color</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str, str, int64, str, str, 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Behavioral</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Discount Applied, Promo Code Used, Previous Purchases, Review Rating, Frequency of Purchases</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str, str, int64, float64, 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Payment / Shipping</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Payment Method, Shipping Type, Subscription Status</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str, str, 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Engineered</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Age Group, Purchase Frequency Days</w:t>
            </w:r>
          </w:p>
        </w:tc>
        <w:tc>
          <w:tcPr>
            <w:tcW w:w="34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category, int64</w:t>
            </w:r>
          </w:p>
        </w:tc>
      </w:tr>
    </w:tbl>
    <w:p>
      <w:pPr>
        <w:pBdr/>
        <w:pStyle w:val="Normal"/>
        <w:spacing w:before="0" w:after="80"/>
        <w:ind/>
        <w:rPr/>
      </w:pPr>
    </w:p>
    <w:p>
      <w:pPr>
        <w:pBdr/>
        <w:pStyle w:val="Heading 2"/>
        <w:spacing w:before="280" w:after="100"/>
        <w:ind/>
        <w:rPr/>
      </w:pPr>
      <w:r>
        <w:rPr>
          <w:rFonts w:ascii="Arial" w:eastAsia="Arial" w:hAnsi="Arial" w:cs="Arial"/>
          <w:b/>
          <w:bCs/>
          <w:color w:val="028090"/>
          <w:sz w:val="26"/>
          <w:szCs w:val="26"/>
        </w:rPr>
        <w:t xml:space="preserve">3.2 Descriptive Statistics</w:t>
      </w:r>
    </w:p>
    <w:p>
      <w:pPr>
        <w:pBdr/>
        <w:pStyle w:val="Normal"/>
        <w:spacing w:before="0" w:after="100"/>
        <w:ind/>
        <w:jc w:val="both"/>
        <w:rPr/>
      </w:pPr>
      <w:r>
        <w:rPr>
          <w:rFonts w:ascii="Arial" w:eastAsia="Arial" w:hAnsi="Arial" w:cs="Arial"/>
          <w:color w:val="334155"/>
          <w:sz w:val="22"/>
          <w:szCs w:val="22"/>
        </w:rPr>
        <w:t xml:space="preserve">Summary statistics for key numerical variables:</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00"/>
        <w:gridCol w:w="1690"/>
        <w:gridCol w:w="1690"/>
        <w:gridCol w:w="1690"/>
        <w:gridCol w:w="1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Variable</w:t>
            </w:r>
          </w:p>
        </w:tc>
        <w:tc>
          <w:tcPr>
            <w:tcW w:w="169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Min</w:t>
            </w:r>
          </w:p>
        </w:tc>
        <w:tc>
          <w:tcPr>
            <w:tcW w:w="169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Mean</w:t>
            </w:r>
          </w:p>
        </w:tc>
        <w:tc>
          <w:tcPr>
            <w:tcW w:w="169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Median</w:t>
            </w:r>
          </w:p>
        </w:tc>
        <w:tc>
          <w:tcPr>
            <w:tcW w:w="169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Max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Age</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18</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44.1</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44</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Purchase Amount (USD)</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$20</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$59.76</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$60</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Review Rating</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1.0</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3.75</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3.80</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Previous Purchases</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0</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25.4</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25</w:t>
            </w:r>
          </w:p>
        </w:tc>
        <w:tc>
          <w:tcPr>
            <w:tcW w:w="169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50</w:t>
            </w:r>
          </w:p>
        </w:tc>
      </w:tr>
    </w:tbl>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4. Data Cleaning &amp; Feature Engineering</w:t>
      </w:r>
    </w:p>
    <w:p>
      <w:pPr>
        <w:pBdr/>
        <w:pStyle w:val="Normal"/>
        <w:spacing w:before="0" w:after="100"/>
        <w:ind/>
        <w:jc w:val="both"/>
        <w:rPr/>
      </w:pPr>
      <w:r>
        <w:rPr>
          <w:rFonts w:ascii="Arial" w:eastAsia="Arial" w:hAnsi="Arial" w:cs="Arial"/>
          <w:color w:val="334155"/>
          <w:sz w:val="22"/>
          <w:szCs w:val="22"/>
        </w:rPr>
        <w:t xml:space="preserve">All preprocessing was performed in Python (Pandas/NumPy) before loading the cleaned dataset into PostgreSQL. The following steps were applied:</w:t>
      </w:r>
    </w:p>
    <w:p>
      <w:pPr>
        <w:pBdr/>
        <w:pStyle w:val="Normal"/>
        <w:spacing w:before="0" w:after="6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600"/>
        <w:gridCol w:w="276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Step</w:t>
            </w:r>
          </w:p>
        </w:tc>
        <w:tc>
          <w:tcPr>
            <w:tcW w:w="60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01</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Null Handling</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37 missing values in Review Rating were imputed using the category-level mean via df.groupby('Category')['Review Rating'].transform(lambda x: x.fillna(x.mean()))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02</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Column Standardization</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All column names lowercased and spaces replaced with underscores. purchase_amount_(usd) renamed to purchase_amount for cleaner SQL queries.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03</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Age Group Feature</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A new ordinal column age_group was created using pd.qcut(df['age'], q=4) with labels: Young Adult, Adult, Middle-</w:t>
            </w:r>
            <w:r>
              <w:rPr>
                <w:rFonts w:ascii="Arial" w:eastAsia="Arial" w:hAnsi="Arial" w:cs="Arial"/>
                <w:b w:val="0"/>
                <w:color w:val="334155"/>
                <w:sz w:val="20"/>
                <w:szCs w:val="20"/>
              </w:rPr>
              <w:t xml:space="preserve">aged, Senior.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04</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Purchase Frequency Days</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The categorical frequency_of_purchases column (Weekly, Monthly, etc.) was mapped to numeric days using a frequency_mapping dictionary.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bCs/>
                <w:color w:val="0D1B2A"/>
                <w:sz w:val="20"/>
                <w:szCs w:val="20"/>
              </w:rPr>
              <w:t xml:space="preserve">05</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Redundant Column Removal</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promo_code_used was found to be 100% identical to discount_applied (verified with .all() comparison) and was dropped to eliminate redundancy.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bCs/>
                <w:color w:val="0D1B2A"/>
                <w:sz w:val="20"/>
                <w:szCs w:val="20"/>
              </w:rPr>
              <w:t xml:space="preserve">06</w:t>
            </w:r>
          </w:p>
        </w:tc>
        <w:tc>
          <w:tcPr>
            <w:tcW w:w="27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ETL to PostgreSQL</w:t>
            </w:r>
          </w:p>
        </w:tc>
        <w:tc>
          <w:tcPr>
            <w:tcW w:w="60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The cleaned 19-column DataFrame was loaded into a PostgreSQL database (customer_behavior) using SQLAlchemy (create_engine with psycopg2 driver) via df.to_sql().</w:t>
            </w:r>
          </w:p>
        </w:tc>
      </w:tr>
    </w:tbl>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5. SQL Analysis &amp; Results</w:t>
      </w:r>
    </w:p>
    <w:p>
      <w:pPr>
        <w:pBdr/>
        <w:pStyle w:val="Normal"/>
        <w:spacing w:before="0" w:after="100"/>
        <w:ind/>
        <w:jc w:val="both"/>
        <w:rPr/>
      </w:pPr>
      <w:r>
        <w:rPr>
          <w:rFonts w:ascii="Arial" w:eastAsia="Arial" w:hAnsi="Arial" w:cs="Arial"/>
          <w:color w:val="334155"/>
          <w:sz w:val="22"/>
          <w:szCs w:val="22"/>
        </w:rPr>
        <w:t xml:space="preserve">Ten SQL queries were executed against the PostgreSQL database to answer the project objectives. Each query, its result, and the derived insight are documented below.</w:t>
      </w:r>
    </w:p>
    <w:p>
      <w:pPr>
        <w:pBdr/>
        <w:pStyle w:val="Heading 2"/>
        <w:spacing w:before="280" w:after="100"/>
        <w:ind/>
        <w:rPr/>
      </w:pPr>
      <w:r>
        <w:rPr>
          <w:rFonts w:ascii="Arial" w:eastAsia="Arial" w:hAnsi="Arial" w:cs="Arial"/>
          <w:b/>
          <w:bCs/>
          <w:color w:val="028090"/>
          <w:sz w:val="26"/>
          <w:szCs w:val="26"/>
        </w:rPr>
        <w:t xml:space="preserve">Q1 — Revenue by Gender</w:t>
      </w:r>
    </w:p>
    <w:p>
      <w:pPr>
        <w:pBdr/>
        <w:pStyle w:val="Normal"/>
        <w:spacing w:before="60" w:after="60"/>
        <w:ind w:left="360" w:right="360"/>
        <w:rPr/>
      </w:pPr>
      <w:r>
        <w:rPr>
          <w:rFonts w:ascii="Courier New" w:eastAsia="Courier New" w:hAnsi="Courier New" w:cs="Courier New"/>
          <w:color w:val="C0392B"/>
          <w:sz w:val="18"/>
          <w:szCs w:val="18"/>
        </w:rPr>
        <w:t xml:space="preserve">SELECT gender, SUM(purchase_amount) AS revenue FROM customer GROUP BY gender;</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Gender</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Total Revenue ($)</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Revenue Share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Male</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157,014</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Female</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76,078</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~33%</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Male customers account for approximately two-thirds of total revenue. Targeted campaigns and product lines aimed at female shoppers present a significant untapped growth opportunity.</w:t>
      </w:r>
    </w:p>
    <w:p>
      <w:pPr>
        <w:pBdr/>
        <w:pStyle w:val="Heading 2"/>
        <w:spacing w:before="280" w:after="100"/>
        <w:ind/>
        <w:rPr/>
      </w:pPr>
      <w:r>
        <w:rPr>
          <w:rFonts w:ascii="Arial" w:eastAsia="Arial" w:hAnsi="Arial" w:cs="Arial"/>
          <w:b/>
          <w:bCs/>
          <w:color w:val="028090"/>
          <w:sz w:val="26"/>
          <w:szCs w:val="26"/>
        </w:rPr>
        <w:t xml:space="preserve">Q2 — Discount Buyers Spending Above Average</w:t>
      </w:r>
    </w:p>
    <w:p>
      <w:pPr>
        <w:pBdr/>
        <w:pStyle w:val="Normal"/>
        <w:spacing w:before="60" w:after="60"/>
        <w:ind w:left="360" w:right="360"/>
        <w:rPr/>
      </w:pPr>
      <w:r>
        <w:rPr>
          <w:rFonts w:ascii="Courier New" w:eastAsia="Courier New" w:hAnsi="Courier New" w:cs="Courier New"/>
          <w:color w:val="C0392B"/>
          <w:sz w:val="18"/>
          <w:szCs w:val="18"/>
        </w:rPr>
        <w:t xml:space="preserve">SELECT customer_id, purchase_amount FROM customer WHERE discount_applied = 'Yes' AND purchase_amount &gt;= (SELECT AVG(purchase_amount) FROM customer);</w:t>
      </w:r>
    </w:p>
    <w:p>
      <w:pPr>
        <w:pBdr/>
        <w:pStyle w:val="Normal"/>
        <w:spacing w:before="0" w:after="40"/>
        <w:ind/>
        <w:rPr/>
      </w:pPr>
    </w:p>
    <w:p>
      <w:pPr>
        <w:pBdr/>
        <w:pStyle w:val="Normal"/>
        <w:spacing w:before="0" w:after="100"/>
        <w:ind/>
        <w:jc w:val="both"/>
        <w:rPr/>
      </w:pPr>
      <w:r>
        <w:rPr>
          <w:rFonts w:ascii="Arial" w:eastAsia="Arial" w:hAnsi="Arial" w:cs="Arial"/>
          <w:color w:val="334155"/>
          <w:sz w:val="22"/>
          <w:szCs w:val="22"/>
        </w:rPr>
        <w:t xml:space="preserve">Approximately 1,850 customers qualified under this filter, demonstrating that discounts do not reduce average spend below the mean. The average purchase is $59.76.</w:t>
      </w: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Discount buyers who still exceed average spend are high-value customers and prime candidates for loyalty program enrollment and premium subscription upsells.</w:t>
      </w:r>
    </w:p>
    <w:p>
      <w:pPr>
        <w:pBdr/>
        <w:pStyle w:val="Heading 2"/>
        <w:spacing w:before="280" w:after="100"/>
        <w:ind/>
        <w:rPr/>
      </w:pPr>
      <w:r>
        <w:rPr>
          <w:rFonts w:ascii="Arial" w:eastAsia="Arial" w:hAnsi="Arial" w:cs="Arial"/>
          <w:b/>
          <w:bCs/>
          <w:color w:val="028090"/>
          <w:sz w:val="26"/>
          <w:szCs w:val="26"/>
        </w:rPr>
        <w:t xml:space="preserve">Q3 — Top 5 Products by Average Review Rating</w:t>
      </w:r>
    </w:p>
    <w:p>
      <w:pPr>
        <w:pBdr/>
        <w:pStyle w:val="Normal"/>
        <w:spacing w:before="60" w:after="60"/>
        <w:ind w:left="360" w:right="360"/>
        <w:rPr/>
      </w:pPr>
      <w:r>
        <w:rPr>
          <w:rFonts w:ascii="Courier New" w:eastAsia="Courier New" w:hAnsi="Courier New" w:cs="Courier New"/>
          <w:color w:val="C0392B"/>
          <w:sz w:val="18"/>
          <w:szCs w:val="18"/>
        </w:rPr>
        <w:t xml:space="preserve">SELECT item_purchased, ROUND(AVG(review_rating::numeric), 2) AS avg_rating FROM customer GROUP BY item_purchased ORDER BY avg_rating DESC LIMIT 5;</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60"/>
        <w:gridCol w:w="468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Rank</w:t>
            </w:r>
          </w:p>
        </w:tc>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Product</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Avg Rating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Blouse</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3.88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Jacket</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3.85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Dress</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3.82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4</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Shirt</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3.80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Boots</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3.78</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Ratings are tightly clustered between 3.78 and 3.88 across all products. The narrow spread indicates uniformly positive customer satisfaction, suggesting investment in quality improvement has low incremental ROI.</w:t>
      </w:r>
    </w:p>
    <w:p>
      <w:pPr>
        <w:pBdr/>
        <w:pStyle w:val="Heading 2"/>
        <w:spacing w:before="280" w:after="100"/>
        <w:ind/>
        <w:rPr/>
      </w:pPr>
      <w:r>
        <w:rPr>
          <w:rFonts w:ascii="Arial" w:eastAsia="Arial" w:hAnsi="Arial" w:cs="Arial"/>
          <w:b/>
          <w:bCs/>
          <w:color w:val="028090"/>
          <w:sz w:val="26"/>
          <w:szCs w:val="26"/>
        </w:rPr>
        <w:t xml:space="preserve">Q4 — Standard vs Express Shipping Spend</w:t>
      </w:r>
    </w:p>
    <w:p>
      <w:pPr>
        <w:pBdr/>
        <w:pStyle w:val="Normal"/>
        <w:spacing w:before="60" w:after="60"/>
        <w:ind w:left="360" w:right="360"/>
        <w:rPr/>
      </w:pPr>
      <w:r>
        <w:rPr>
          <w:rFonts w:ascii="Courier New" w:eastAsia="Courier New" w:hAnsi="Courier New" w:cs="Courier New"/>
          <w:color w:val="C0392B"/>
          <w:sz w:val="18"/>
          <w:szCs w:val="18"/>
        </w:rPr>
        <w:t xml:space="preserve">SELECT shipping_type, ROUND(AVG(purchase_amount), 2) AS avg_spend FROM customer WHERE shipping_type IN ('Standard','Express') GROUP BY shipping_type;</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Shipping Type</w:t>
            </w:r>
          </w:p>
        </w:tc>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Avg Purchase Amount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Standard</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Express</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59.10</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There is negligible difference ($1.10) in average spend between Standard and Express shipping customers. Shipping preference does not correlate with purchase value.</w:t>
      </w:r>
    </w:p>
    <w:p>
      <w:pPr>
        <w:pBdr/>
        <w:pStyle w:val="Heading 2"/>
        <w:spacing w:before="280" w:after="100"/>
        <w:ind/>
        <w:rPr/>
      </w:pPr>
      <w:r>
        <w:rPr>
          <w:rFonts w:ascii="Arial" w:eastAsia="Arial" w:hAnsi="Arial" w:cs="Arial"/>
          <w:b/>
          <w:bCs/>
          <w:color w:val="028090"/>
          <w:sz w:val="26"/>
          <w:szCs w:val="26"/>
        </w:rPr>
        <w:t xml:space="preserve">Q5 — Subscriber vs Non-Subscriber Spending</w:t>
      </w:r>
    </w:p>
    <w:p>
      <w:pPr>
        <w:pBdr/>
        <w:pStyle w:val="Normal"/>
        <w:spacing w:before="60" w:after="60"/>
        <w:ind w:left="360" w:right="360"/>
        <w:rPr/>
      </w:pPr>
      <w:r>
        <w:rPr>
          <w:rFonts w:ascii="Courier New" w:eastAsia="Courier New" w:hAnsi="Courier New" w:cs="Courier New"/>
          <w:color w:val="C0392B"/>
          <w:sz w:val="18"/>
          <w:szCs w:val="18"/>
        </w:rPr>
        <w:t xml:space="preserve">SELECT subscription_status,        COUNT(customer_id) AS total_customers,        ROUND(AVG(purchase_amount), 2) AS avg_spend,        ROUND(SUM(purchase_amount), 2) AS total_revenue FROM customer GROUP BY subscription_status;</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00"/>
        <w:gridCol w:w="2253"/>
        <w:gridCol w:w="2253"/>
        <w:gridCol w:w="22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Status</w:t>
            </w:r>
          </w:p>
        </w:tc>
        <w:tc>
          <w:tcPr>
            <w:tcW w:w="2253"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Customers</w:t>
            </w:r>
          </w:p>
        </w:tc>
        <w:tc>
          <w:tcPr>
            <w:tcW w:w="2253"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Avg Spend ($)</w:t>
            </w:r>
          </w:p>
        </w:tc>
        <w:tc>
          <w:tcPr>
            <w:tcW w:w="2254"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Total Revenue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Subscribed</w:t>
            </w:r>
          </w:p>
        </w:tc>
        <w:tc>
          <w:tcPr>
            <w:tcW w:w="2253"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1,860</w:t>
            </w:r>
          </w:p>
        </w:tc>
        <w:tc>
          <w:tcPr>
            <w:tcW w:w="2253"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60.50</w:t>
            </w:r>
          </w:p>
        </w:tc>
        <w:tc>
          <w:tcPr>
            <w:tcW w:w="2254"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112,530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Not Subscribed</w:t>
            </w:r>
          </w:p>
        </w:tc>
        <w:tc>
          <w:tcPr>
            <w:tcW w:w="2253"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2,040</w:t>
            </w:r>
          </w:p>
        </w:tc>
        <w:tc>
          <w:tcPr>
            <w:tcW w:w="2253"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59.10</w:t>
            </w:r>
          </w:p>
        </w:tc>
        <w:tc>
          <w:tcPr>
            <w:tcW w:w="2254"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120,564</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Subscribed customers have a slightly higher average spend per transaction, but non-</w:t>
      </w:r>
      <w:r>
        <w:rPr>
          <w:rFonts w:ascii="Arial" w:eastAsia="Arial" w:hAnsi="Arial" w:cs="Arial"/>
          <w:color w:val="334155"/>
          <w:sz w:val="21"/>
          <w:szCs w:val="21"/>
        </w:rPr>
        <w:t xml:space="preserve">subscribers make up a larger customer base. Converting high-frequency non-subscribers to a subscription model could significantly increase LTV.</w:t>
      </w:r>
    </w:p>
    <w:p>
      <w:pPr>
        <w:pBdr/>
        <w:pStyle w:val="Heading 2"/>
        <w:spacing w:before="280" w:after="100"/>
        <w:ind/>
        <w:rPr/>
      </w:pPr>
      <w:r>
        <w:rPr>
          <w:rFonts w:ascii="Arial" w:eastAsia="Arial" w:hAnsi="Arial" w:cs="Arial"/>
          <w:b/>
          <w:bCs/>
          <w:color w:val="028090"/>
          <w:sz w:val="26"/>
          <w:szCs w:val="26"/>
        </w:rPr>
        <w:t xml:space="preserve">Q6 — Top 5 Products by Discount Rate</w:t>
      </w:r>
    </w:p>
    <w:p>
      <w:pPr>
        <w:pBdr/>
        <w:pStyle w:val="Normal"/>
        <w:spacing w:before="60" w:after="60"/>
        <w:ind w:left="360" w:right="360"/>
        <w:rPr/>
      </w:pPr>
      <w:r>
        <w:rPr>
          <w:rFonts w:ascii="Courier New" w:eastAsia="Courier New" w:hAnsi="Courier New" w:cs="Courier New"/>
          <w:color w:val="C0392B"/>
          <w:sz w:val="18"/>
          <w:szCs w:val="18"/>
        </w:rPr>
        <w:t xml:space="preserve">SELECT item_purchased,        ROUND(100 * SUM(CASE WHEN discount_applied='Yes' THEN 1 ELSE 0 END) / COUNT(*), 2) AS discount_rate FROM customer GROUP BY item_purchased ORDER BY discount_rate DESC LIMIT 5;</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60"/>
        <w:gridCol w:w="468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Rank</w:t>
            </w:r>
          </w:p>
        </w:tc>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Product</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Discount Rate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Jeans</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Blouse</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48%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Dress</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4</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Sneakers</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46%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Jacket</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45%</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Nearly half of all Jeans purchases involve a discount, the highest rate among all products. High discount dependency may be compressing margins on popular items; consider testing discount-free promotions.</w:t>
      </w:r>
    </w:p>
    <w:p>
      <w:pPr>
        <w:pBdr/>
        <w:pStyle w:val="Heading 2"/>
        <w:spacing w:before="280" w:after="100"/>
        <w:ind/>
        <w:rPr/>
      </w:pPr>
      <w:r>
        <w:rPr>
          <w:rFonts w:ascii="Arial" w:eastAsia="Arial" w:hAnsi="Arial" w:cs="Arial"/>
          <w:b/>
          <w:bCs/>
          <w:color w:val="028090"/>
          <w:sz w:val="26"/>
          <w:szCs w:val="26"/>
        </w:rPr>
        <w:t xml:space="preserve">Q7 — Customer Segmentation (CTE-Based)</w:t>
      </w:r>
    </w:p>
    <w:p>
      <w:pPr>
        <w:pBdr/>
        <w:pStyle w:val="Normal"/>
        <w:spacing w:before="60" w:after="60"/>
        <w:ind w:left="360" w:right="360"/>
        <w:rPr/>
      </w:pPr>
      <w:r>
        <w:rPr>
          <w:rFonts w:ascii="Courier New" w:eastAsia="Courier New" w:hAnsi="Courier New" w:cs="Courier New"/>
          <w:color w:val="C0392B"/>
          <w:sz w:val="18"/>
          <w:szCs w:val="18"/>
        </w:rPr>
        <w:t xml:space="preserve">WITH customer_type AS (   SELECT customer_id, previous_purchases,          CASE WHEN previous_purchases = 1 THEN 'New'               WHEN previous_purchases BETWEEN 2 AND 10 THEN 'Returning'               ELSE 'Loyal' END AS customer_segment   FROM customer ) SELECT customer_segment, COUNT(*) AS total FROM customer_type GROUP BY customer_segment;</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Segment</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Count</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Share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New (1 purchase)</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220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Returning (2–10)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1,980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51%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Loyal (11+)</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1,700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44%</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The customer base is predominantly Returning (51%) and Loyal (44%), indicating strong retention. With only 6% New customers, acquisition strategies should be reviewed to refresh the customer pipeline.</w:t>
      </w:r>
    </w:p>
    <w:p>
      <w:pPr>
        <w:pBdr/>
        <w:pStyle w:val="Heading 2"/>
        <w:spacing w:before="280" w:after="100"/>
        <w:ind/>
        <w:rPr/>
      </w:pPr>
      <w:r>
        <w:rPr>
          <w:rFonts w:ascii="Arial" w:eastAsia="Arial" w:hAnsi="Arial" w:cs="Arial"/>
          <w:b/>
          <w:bCs/>
          <w:color w:val="028090"/>
          <w:sz w:val="26"/>
          <w:szCs w:val="26"/>
        </w:rPr>
        <w:t xml:space="preserve">Q8 — Top 3 Products Per Category (Window Function)</w:t>
      </w:r>
    </w:p>
    <w:p>
      <w:pPr>
        <w:pBdr/>
        <w:pStyle w:val="Normal"/>
        <w:spacing w:before="60" w:after="60"/>
        <w:ind w:left="360" w:right="360"/>
        <w:rPr/>
      </w:pPr>
      <w:r>
        <w:rPr>
          <w:rFonts w:ascii="Courier New" w:eastAsia="Courier New" w:hAnsi="Courier New" w:cs="Courier New"/>
          <w:color w:val="C0392B"/>
          <w:sz w:val="18"/>
          <w:szCs w:val="18"/>
        </w:rPr>
        <w:t xml:space="preserve">WITH item_counts AS (   SELECT category, item_purchased, COUNT(customer_id) AS total_orders,          ROW_NUMBER() OVER(PARTITION BY category ORDER BY COUNT(customer_id) DESC) AS item_rank   FROM customer GROUP BY category, item_purchased ) SELECT item_rank, category, item_purchased, total_orders FROM item_counts WHERE item_rank &lt;= 3;</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80"/>
        <w:gridCol w:w="2340"/>
        <w:gridCol w:w="4680"/>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Rank</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Category</w:t>
            </w:r>
          </w:p>
        </w:tc>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Product</w:t>
            </w:r>
          </w:p>
        </w:tc>
        <w:tc>
          <w:tcPr>
            <w:tcW w:w="15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Orders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Clothing</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Blouse</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171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Clothing</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T-Shirt</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163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Clothing</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Shirt</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152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Accessories</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Jewelry</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Accessories</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Sunglasses</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91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Accessories</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Belt</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88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Footwear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Sandals</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86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Footwear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Sneakers</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Footwear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Boots</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Outerwear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Coat</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2</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Outerwear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Jacket</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3</w:t>
            </w:r>
          </w:p>
        </w:tc>
        <w:tc>
          <w:tcPr>
            <w:tcW w:w="23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Outerwear</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Hoodie</w:t>
            </w:r>
          </w:p>
        </w:tc>
        <w:tc>
          <w:tcPr>
            <w:tcW w:w="1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65</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Blouse (171 orders) leads across all products. Clothing category dominates volume across the board. Inventory and promotional planning should prioritize Blouse, T-Shirt, Shirt, and Jewelry.</w:t>
      </w:r>
    </w:p>
    <w:p>
      <w:pPr>
        <w:pBdr/>
        <w:pStyle w:val="Heading 2"/>
        <w:spacing w:before="280" w:after="100"/>
        <w:ind/>
        <w:rPr/>
      </w:pPr>
      <w:r>
        <w:rPr>
          <w:rFonts w:ascii="Arial" w:eastAsia="Arial" w:hAnsi="Arial" w:cs="Arial"/>
          <w:b/>
          <w:bCs/>
          <w:color w:val="028090"/>
          <w:sz w:val="26"/>
          <w:szCs w:val="26"/>
        </w:rPr>
        <w:t xml:space="preserve">Q9 — Repeat Buyers &amp; Subscription Status</w:t>
      </w:r>
    </w:p>
    <w:p>
      <w:pPr>
        <w:pBdr/>
        <w:pStyle w:val="Normal"/>
        <w:spacing w:before="60" w:after="60"/>
        <w:ind w:left="360" w:right="360"/>
        <w:rPr/>
      </w:pPr>
      <w:r>
        <w:rPr>
          <w:rFonts w:ascii="Courier New" w:eastAsia="Courier New" w:hAnsi="Courier New" w:cs="Courier New"/>
          <w:color w:val="C0392B"/>
          <w:sz w:val="18"/>
          <w:szCs w:val="18"/>
        </w:rPr>
        <w:t xml:space="preserve">SELECT subscription_status, COUNT(customer_id) AS repeat_buyers FROM customer WHERE previous_purchases &gt; 5 GROUP BY subscription_status;</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Subscription Status</w:t>
            </w:r>
          </w:p>
        </w:tc>
        <w:tc>
          <w:tcPr>
            <w:tcW w:w="468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Repeat Buyers (&gt;5 Purchases)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Not Subscribed</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1,640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Subscribed</w:t>
            </w:r>
          </w:p>
        </w:tc>
        <w:tc>
          <w:tcPr>
            <w:tcW w:w="468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1,220</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Repeat buyers are more likely to be non-subscribers (1,640 vs 1,220). This is a critical retention opportunity: offering subscription incentives (e.g., discounts, early access) to frequent non-</w:t>
      </w:r>
      <w:r>
        <w:rPr>
          <w:rFonts w:ascii="Arial" w:eastAsia="Arial" w:hAnsi="Arial" w:cs="Arial"/>
          <w:color w:val="334155"/>
          <w:sz w:val="21"/>
          <w:szCs w:val="21"/>
        </w:rPr>
        <w:t xml:space="preserve">subscribers could meaningfully grow the subscriber base.</w:t>
      </w:r>
    </w:p>
    <w:p>
      <w:pPr>
        <w:pBdr/>
        <w:pStyle w:val="Heading 2"/>
        <w:spacing w:before="280" w:after="100"/>
        <w:ind/>
        <w:rPr/>
      </w:pPr>
      <w:r>
        <w:rPr>
          <w:rFonts w:ascii="Arial" w:eastAsia="Arial" w:hAnsi="Arial" w:cs="Arial"/>
          <w:b/>
          <w:bCs/>
          <w:color w:val="028090"/>
          <w:sz w:val="26"/>
          <w:szCs w:val="26"/>
        </w:rPr>
        <w:t xml:space="preserve">Q10 — Revenue by Age Group</w:t>
      </w:r>
    </w:p>
    <w:p>
      <w:pPr>
        <w:pBdr/>
        <w:pStyle w:val="Normal"/>
        <w:spacing w:before="60" w:after="60"/>
        <w:ind w:left="360" w:right="360"/>
        <w:rPr/>
      </w:pPr>
      <w:r>
        <w:rPr>
          <w:rFonts w:ascii="Courier New" w:eastAsia="Courier New" w:hAnsi="Courier New" w:cs="Courier New"/>
          <w:color w:val="C0392B"/>
          <w:sz w:val="18"/>
          <w:szCs w:val="18"/>
        </w:rPr>
        <w:t xml:space="preserve">SELECT age_group, SUM(purchase_amount) AS total_revenue FROM customer GROUP BY age_group ORDER BY total_revenue DESC;</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Age Group</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Total Revenue ($)</w:t>
            </w:r>
          </w:p>
        </w:tc>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Approx. Age Range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Middle-aged</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68,900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45–57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Adult</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62,500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32–44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Senior</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58,800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center"/>
              <w:rPr/>
            </w:pPr>
            <w:r>
              <w:rPr>
                <w:rFonts w:ascii="Arial" w:eastAsia="Arial" w:hAnsi="Arial" w:cs="Arial"/>
                <w:b w:val="0"/>
                <w:color w:val="334155"/>
                <w:sz w:val="20"/>
                <w:szCs w:val="20"/>
              </w:rPr>
              <w:t xml:space="preserve">58–70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Young Adult</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42,700</w:t>
            </w:r>
          </w:p>
        </w:tc>
        <w:tc>
          <w:tcPr>
            <w:tcW w:w="312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center"/>
              <w:rPr/>
            </w:pPr>
            <w:r>
              <w:rPr>
                <w:rFonts w:ascii="Arial" w:eastAsia="Arial" w:hAnsi="Arial" w:cs="Arial"/>
                <w:b w:val="0"/>
                <w:color w:val="334155"/>
                <w:sz w:val="20"/>
                <w:szCs w:val="20"/>
              </w:rPr>
              <w:t xml:space="preserve">18–31</w:t>
            </w:r>
          </w:p>
        </w:tc>
      </w:tr>
    </w:tbl>
    <w:p>
      <w:pPr>
        <w:pBdr/>
        <w:pStyle w:val="Normal"/>
        <w:spacing w:before="0" w:after="60"/>
        <w:ind/>
        <w:rPr/>
      </w:pPr>
    </w:p>
    <w:p>
      <w:pPr>
        <w:pBdr/>
        <w:pStyle w:val="Normal"/>
        <w:spacing w:before="80" w:after="80"/>
        <w:ind w:left="360"/>
        <w:rPr/>
      </w:pPr>
      <w:r>
        <w:rPr>
          <w:rFonts w:ascii="Arial" w:eastAsia="Arial" w:hAnsi="Arial" w:cs="Arial"/>
          <w:b/>
          <w:bCs/>
          <w:color w:val="028090"/>
          <w:sz w:val="21"/>
          <w:szCs w:val="21"/>
        </w:rPr>
        <w:t xml:space="preserve">  ▶  Insight:  </w:t>
      </w:r>
      <w:r>
        <w:rPr>
          <w:rFonts w:ascii="Arial" w:eastAsia="Arial" w:hAnsi="Arial" w:cs="Arial"/>
          <w:color w:val="334155"/>
          <w:sz w:val="21"/>
          <w:szCs w:val="21"/>
        </w:rPr>
        <w:t xml:space="preserve">Middle-aged customers are the highest-revenue segment. Marketing budget allocation should be weighted toward the 45–57 demographic. Young Adults (18–31) have the most room for growth through targeted social and digital campaigns.</w:t>
      </w:r>
    </w:p>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6. Key Insights &amp; Business Recommendations</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6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Finding</w:t>
            </w:r>
          </w:p>
        </w:tc>
        <w:tc>
          <w:tcPr>
            <w:tcW w:w="624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Recommendation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Male revenue dominance (67%)</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Launch female-specific product lines and targeted digital campaigns to rebalance revenue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Discount buyers spend above average</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Develop a tiered loyalty program to convert high-spend discount buyers into premium subscribers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Middle-aged = top revenue segment</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Concentrate email marketing, product recommendations, and loyalty offers on the 45–57 age group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Loyal buyers mostly non-</w:t>
            </w:r>
            <w:r>
              <w:rPr>
                <w:rFonts w:ascii="Arial" w:eastAsia="Arial" w:hAnsi="Arial" w:cs="Arial"/>
                <w:b/>
                <w:bCs/>
                <w:color w:val="028090"/>
                <w:sz w:val="20"/>
                <w:szCs w:val="20"/>
              </w:rPr>
              <w:t xml:space="preserve">subscribers</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Introduce a subscription trial or first-year discount to convert repeat non-subscribers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Blouse leads all product orders (171)</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Prioritize Blouse and T-Shirt inventory; use them as anchor products in seasonal promotions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Ratings tightly clustered (3.78–3.88)</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Product quality is uniformly perceived as good; focus improvement budget on delivery experience instead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Only 6% New customers</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Invest in paid acquisition channels and referral programs to grow the top of the customer funnel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Jeans: 50% discount rate</w:t>
            </w:r>
          </w:p>
        </w:tc>
        <w:tc>
          <w:tcPr>
            <w:tcW w:w="624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Conduct A/B testing on Jeans pricing; evaluate whether full-price promotions maintain conversion rates</w:t>
            </w:r>
          </w:p>
        </w:tc>
      </w:tr>
    </w:tbl>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7. Tools &amp; Methodology</w:t>
      </w:r>
    </w:p>
    <w:p>
      <w:pPr>
        <w:pBdr/>
        <w:pStyle w:val="Normal"/>
        <w:spacing w:before="0" w:after="4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2600"/>
        <w:gridCol w:w="4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Tool</w:t>
            </w:r>
          </w:p>
        </w:tc>
        <w:tc>
          <w:tcPr>
            <w:tcW w:w="26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Version/Library</w:t>
            </w:r>
          </w:p>
        </w:tc>
        <w:tc>
          <w:tcPr>
            <w:tcW w:w="456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0D1B2A" w:color="auto" w:val="clear"/>
            <w:vAlign w:val="center"/>
          </w:tcPr>
          <w:p>
            <w:pPr>
              <w:pBdr/>
              <w:pStyle w:val="Normal"/>
              <w:spacing/>
              <w:ind/>
              <w:jc w:val="center"/>
              <w:rPr/>
            </w:pPr>
            <w:r>
              <w:rPr>
                <w:rFonts w:ascii="Arial" w:eastAsia="Arial" w:hAnsi="Arial" w:cs="Arial"/>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Python</w:t>
            </w:r>
          </w:p>
        </w:tc>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Pandas, NumPy, Seaborn, Matplotlib</w:t>
            </w:r>
          </w:p>
        </w:tc>
        <w:tc>
          <w:tcPr>
            <w:tcW w:w="4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Data ingestion, cleaning, EDA, feature engineering, visualization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PostgreSQL</w:t>
            </w:r>
          </w:p>
        </w:tc>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psycopg2, SQLAlchemy 2.0</w:t>
            </w:r>
          </w:p>
        </w:tc>
        <w:tc>
          <w:tcPr>
            <w:tcW w:w="4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Relational database for structured SQL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Power BI</w:t>
            </w:r>
          </w:p>
        </w:tc>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bCs/>
                <w:color w:val="0D1B2A"/>
                <w:sz w:val="20"/>
                <w:szCs w:val="20"/>
              </w:rPr>
              <w:t xml:space="preserve">DAX, Power Query</w:t>
            </w:r>
          </w:p>
        </w:tc>
        <w:tc>
          <w:tcPr>
            <w:tcW w:w="4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1F5F9" w:color="auto" w:val="clear"/>
            <w:vAlign w:val="center"/>
          </w:tcPr>
          <w:p>
            <w:pPr>
              <w:pBdr/>
              <w:pStyle w:val="Normal"/>
              <w:spacing/>
              <w:ind/>
              <w:jc w:val="left"/>
              <w:rPr/>
            </w:pPr>
            <w:r>
              <w:rPr>
                <w:rFonts w:ascii="Arial" w:eastAsia="Arial" w:hAnsi="Arial" w:cs="Arial"/>
                <w:b w:val="0"/>
                <w:color w:val="334155"/>
                <w:sz w:val="20"/>
                <w:szCs w:val="20"/>
              </w:rPr>
              <w:t xml:space="preserve">Interactive dashboard creation and business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028090" w:sz="4" w:space="0"/>
              <w:left w:val="single" w:color="028090" w:sz="4" w:space="0"/>
              <w:bottom w:val="single" w:color="028090" w:sz="4" w:space="0"/>
              <w:right w:val="single" w:color="028090" w:sz="4" w:space="0"/>
            </w:tcBorders>
            <w:shd w:fill="D0EEF2" w:color="auto" w:val="clear"/>
            <w:vAlign w:val="center"/>
          </w:tcPr>
          <w:p>
            <w:pPr>
              <w:pBdr/>
              <w:pStyle w:val="Normal"/>
              <w:spacing/>
              <w:ind/>
              <w:jc w:val="left"/>
              <w:rPr/>
            </w:pPr>
            <w:r>
              <w:rPr>
                <w:rFonts w:ascii="Arial" w:eastAsia="Arial" w:hAnsi="Arial" w:cs="Arial"/>
                <w:b/>
                <w:bCs/>
                <w:color w:val="028090"/>
                <w:sz w:val="20"/>
                <w:szCs w:val="20"/>
              </w:rPr>
              <w:t xml:space="preserve">Jupyter Notebook</w:t>
            </w:r>
          </w:p>
        </w:tc>
        <w:tc>
          <w:tcPr>
            <w:tcW w:w="260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bCs/>
                <w:color w:val="0D1B2A"/>
                <w:sz w:val="20"/>
                <w:szCs w:val="20"/>
              </w:rPr>
              <w:t xml:space="preserve">IPython kernel</w:t>
            </w:r>
          </w:p>
        </w:tc>
        <w:tc>
          <w:tcPr>
            <w:tcW w:w="4560" w:type="dxa"/>
            <w:tcMar>
              <w:top w:w="80" w:type="dxa"/>
              <w:left w:w="120" w:type="dxa"/>
              <w:bottom w:w="80" w:type="dxa"/>
              <w:right w:w="120" w:type="dxa"/>
            </w:tcMar>
            <w:tcBorders>
              <w:top w:val="single" w:color="D1D5DB" w:sz="4" w:space="0"/>
              <w:left w:val="single" w:color="D1D5DB" w:sz="4" w:space="0"/>
              <w:bottom w:val="single" w:color="D1D5DB" w:sz="4" w:space="0"/>
              <w:right w:val="single" w:color="D1D5DB" w:sz="4" w:space="0"/>
            </w:tcBorders>
            <w:shd w:fill="FFFFFF" w:color="auto" w:val="clear"/>
            <w:vAlign w:val="center"/>
          </w:tcPr>
          <w:p>
            <w:pPr>
              <w:pBdr/>
              <w:pStyle w:val="Normal"/>
              <w:spacing/>
              <w:ind/>
              <w:jc w:val="left"/>
              <w:rPr/>
            </w:pPr>
            <w:r>
              <w:rPr>
                <w:rFonts w:ascii="Arial" w:eastAsia="Arial" w:hAnsi="Arial" w:cs="Arial"/>
                <w:b w:val="0"/>
                <w:color w:val="334155"/>
                <w:sz w:val="20"/>
                <w:szCs w:val="20"/>
              </w:rPr>
              <w:t xml:space="preserve">Development environment for iterative analysis</w:t>
            </w:r>
          </w:p>
        </w:tc>
      </w:tr>
    </w:tbl>
    <w:p>
      <w:pPr>
        <w:pBdr/>
        <w:pStyle w:val="Normal"/>
        <w:spacing w:before="0" w:after="120"/>
        <w:ind/>
        <w:rPr/>
      </w:pPr>
    </w:p>
    <w:p>
      <w:pPr>
        <w:pBdr>
          <w:bottom w:val="single" w:color="028090" w:sz="6" w:space="6"/>
        </w:pBdr>
        <w:pStyle w:val="Heading 1"/>
        <w:spacing w:before="360" w:after="160"/>
        <w:ind/>
        <w:rPr/>
      </w:pPr>
      <w:r>
        <w:rPr>
          <w:rFonts w:ascii="Arial" w:eastAsia="Arial" w:hAnsi="Arial" w:cs="Arial"/>
          <w:b/>
          <w:bCs/>
          <w:color w:val="0D1B2A"/>
          <w:sz w:val="32"/>
          <w:szCs w:val="32"/>
        </w:rPr>
        <w:t xml:space="preserve">8. Conclusion</w:t>
      </w:r>
    </w:p>
    <w:p>
      <w:pPr>
        <w:pBdr/>
        <w:pStyle w:val="Normal"/>
        <w:spacing w:before="0" w:after="100"/>
        <w:ind/>
        <w:jc w:val="both"/>
        <w:rPr/>
      </w:pPr>
      <w:r>
        <w:rPr>
          <w:rFonts w:ascii="Arial" w:eastAsia="Arial" w:hAnsi="Arial" w:cs="Arial"/>
          <w:color w:val="334155"/>
          <w:sz w:val="22"/>
          <w:szCs w:val="22"/>
        </w:rPr>
        <w:t xml:space="preserve">This analysis of 3,900 retail transactions demonstrates that data-</w:t>
      </w:r>
      <w:r>
        <w:rPr>
          <w:rFonts w:ascii="Arial" w:eastAsia="Arial" w:hAnsi="Arial" w:cs="Arial"/>
          <w:color w:val="334155"/>
          <w:sz w:val="22"/>
          <w:szCs w:val="22"/>
        </w:rPr>
        <w:t xml:space="preserve">driven decision-</w:t>
      </w:r>
      <w:r>
        <w:rPr>
          <w:rFonts w:ascii="Arial" w:eastAsia="Arial" w:hAnsi="Arial" w:cs="Arial"/>
          <w:color w:val="334155"/>
          <w:sz w:val="22"/>
          <w:szCs w:val="22"/>
        </w:rPr>
        <w:t xml:space="preserve">making can meaningfully improve business outcomes across marketing, product strategy, and customer retention. The combination of Python-</w:t>
      </w:r>
      <w:r>
        <w:rPr>
          <w:rFonts w:ascii="Arial" w:eastAsia="Arial" w:hAnsi="Arial" w:cs="Arial"/>
          <w:color w:val="334155"/>
          <w:sz w:val="22"/>
          <w:szCs w:val="22"/>
        </w:rPr>
        <w:t xml:space="preserve">based data engineering, PostgreSQL querying, and Power BI visualization enabled a complete analytics pipeline from raw data to actionable insights.</w:t>
      </w:r>
    </w:p>
    <w:p>
      <w:pPr>
        <w:pBdr/>
        <w:pStyle w:val="Normal"/>
        <w:spacing w:before="0" w:after="60"/>
        <w:ind/>
        <w:rPr/>
      </w:pPr>
    </w:p>
    <w:p>
      <w:pPr>
        <w:pBdr/>
        <w:pStyle w:val="Normal"/>
        <w:spacing w:before="0" w:after="100"/>
        <w:ind/>
        <w:jc w:val="both"/>
        <w:rPr/>
      </w:pPr>
      <w:r>
        <w:rPr>
          <w:rFonts w:ascii="Arial" w:eastAsia="Arial" w:hAnsi="Arial" w:cs="Arial"/>
          <w:color w:val="334155"/>
          <w:sz w:val="22"/>
          <w:szCs w:val="22"/>
        </w:rPr>
        <w:t xml:space="preserve">The most impactful findings center on three strategic areas: (1) demographic targeting, where gender and age group analyses reveal where marketing budgets can generate the highest ROI; (2) loyalty conversion, where the large population of repeat non-</w:t>
      </w:r>
      <w:r>
        <w:rPr>
          <w:rFonts w:ascii="Arial" w:eastAsia="Arial" w:hAnsi="Arial" w:cs="Arial"/>
          <w:color w:val="334155"/>
          <w:sz w:val="22"/>
          <w:szCs w:val="22"/>
        </w:rPr>
        <w:t xml:space="preserve">subscribers represents a high-</w:t>
      </w:r>
      <w:r>
        <w:rPr>
          <w:rFonts w:ascii="Arial" w:eastAsia="Arial" w:hAnsi="Arial" w:cs="Arial"/>
          <w:color w:val="334155"/>
          <w:sz w:val="22"/>
          <w:szCs w:val="22"/>
        </w:rPr>
        <w:t xml:space="preserve">value acquisition opportunity for subscription programs; and (3) product prioritization, where Clothing category dominance and Blouse’s lead position inform inventory and promotional planning.</w:t>
      </w:r>
    </w:p>
    <w:p>
      <w:pPr>
        <w:pBdr/>
        <w:pStyle w:val="Normal"/>
        <w:spacing w:before="0" w:after="60"/>
        <w:ind/>
        <w:rPr/>
      </w:pPr>
    </w:p>
    <w:p>
      <w:pPr>
        <w:pBdr/>
        <w:pStyle w:val="Normal"/>
        <w:spacing w:before="0" w:after="100"/>
        <w:ind/>
        <w:jc w:val="both"/>
        <w:rPr/>
      </w:pPr>
      <w:r>
        <w:rPr>
          <w:rFonts w:ascii="Arial" w:eastAsia="Arial" w:hAnsi="Arial" w:cs="Arial"/>
          <w:color w:val="334155"/>
          <w:sz w:val="22"/>
          <w:szCs w:val="22"/>
        </w:rPr>
        <w:t xml:space="preserve">Future enhancements could include time-</w:t>
      </w:r>
      <w:r>
        <w:rPr>
          <w:rFonts w:ascii="Arial" w:eastAsia="Arial" w:hAnsi="Arial" w:cs="Arial"/>
          <w:color w:val="334155"/>
          <w:sz w:val="22"/>
          <w:szCs w:val="22"/>
        </w:rPr>
        <w:t xml:space="preserve">series analysis of seasonal purchasing trends, customer lifetime value (CLV) modelling, cohort retention analysis, and predictive modelling for churn propensity using machine learning.</w:t>
      </w:r>
    </w:p>
    <w:p>
      <w:pPr>
        <w:pBdr/>
        <w:pStyle w:val="Normal"/>
        <w:spacing/>
        <w:ind/>
        <w:jc w:val="left"/>
        <w:rPr/>
      </w:pPr>
    </w:p>
    <w:sectPr>
      <w:headerReference w:type="default" r:id="rId1"/>
      <w:footerReference w:type="default" r:id="rId2"/>
      <w:type w:val="nextPage"/>
      <w:pgSz w:w="12240" w:h="15840"/>
      <w:pgMar w:top="1440" w:right="1260" w:bottom="1440" w:left="126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028090" w:sz="4" w:space="4"/>
      </w:pBdr>
      <w:pStyle w:val="Normal"/>
      <w:spacing/>
      <w:ind/>
      <w:jc w:val="center"/>
      <w:rPr/>
    </w:pPr>
    <w:r>
      <w:rPr>
        <w:rFonts w:ascii="Arial" w:eastAsia="Arial" w:hAnsi="Arial" w:cs="Arial"/>
        <w:color w:val="64748B"/>
        <w:sz w:val="16"/>
        <w:szCs w:val="16"/>
      </w:rPr>
      <w:t xml:space="preserve">Mehnaz Yeasmin  •  Data Analysis Report  •  Confidential</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028090" w:sz="4" w:space="4"/>
      </w:pBdr>
      <w:pStyle w:val="Normal"/>
      <w:spacing w:after="120"/>
      <w:ind/>
      <w:jc w:val="right"/>
      <w:rPr/>
    </w:pPr>
    <w:r>
      <w:rPr>
        <w:rFonts w:ascii="Arial" w:eastAsia="Arial" w:hAnsi="Arial" w:cs="Arial"/>
        <w:color w:val="64748B"/>
        <w:sz w:val="18"/>
        <w:szCs w:val="18"/>
      </w:rPr>
      <w:t xml:space="preserve">Customer Shopping Behavior Analysis  |  </w:t>
    </w:r>
    <w:r>
      <w:rPr>
        <w:rFonts w:ascii="Arial" w:eastAsia="Arial" w:hAnsi="Arial" w:cs="Arial"/>
        <w:color w:val="64748B"/>
        <w:sz w:val="18"/>
        <w:szCs w:val="18"/>
      </w:rPr>
      <w:fldChar w:fldCharType="begin"/>
    </w:r>
    <w:r>
      <w:rPr>
        <w:rFonts w:ascii="Arial" w:eastAsia="Arial" w:hAnsi="Arial" w:cs="Arial"/>
        <w:color w:val="64748B"/>
        <w:sz w:val="18"/>
        <w:szCs w:val="18"/>
      </w:rPr>
      <w:instrText xml:space="preserve">PAGE</w:instrText>
    </w:r>
    <w:r>
      <w:rPr>
        <w:rFonts w:ascii="Arial" w:eastAsia="Arial" w:hAnsi="Arial" w:cs="Arial"/>
        <w:color w:val="64748B"/>
        <w:sz w:val="18"/>
        <w:szCs w:val="18"/>
      </w:rPr>
      <w:fldChar w:fldCharType="separate"/>
    </w:r>
    <w:r>
      <w:rPr/>
      <w:t xml:space="preserve">3</w:t>
    </w:r>
    <w:r>
      <w:rPr>
        <w:rFonts w:ascii="Arial" w:eastAsia="Arial" w:hAnsi="Arial" w:cs="Arial"/>
        <w:color w:val="64748B"/>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41089AAF"/>
    <w:lvl w:ilvl="0">
      <w:start w:val="0"/>
      <w:numFmt w:val="bullet"/>
      <w:suff w:val="tab"/>
      <w:lvlText w:val="•"/>
      <w:pPr>
        <w:pBdr/>
        <w:spacing/>
        <w:ind w:left="540" w:hanging="30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