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27C" w:rsidRDefault="000115BB">
      <w:pPr>
        <w:pStyle w:val="a3"/>
        <w:spacing w:before="76"/>
        <w:ind w:left="1120"/>
      </w:pPr>
      <w:r>
        <w:t>Аннотация программы</w:t>
      </w:r>
    </w:p>
    <w:p w:rsidR="00E9627C" w:rsidRDefault="000115BB">
      <w:pPr>
        <w:pStyle w:val="a3"/>
        <w:ind w:left="1253"/>
      </w:pPr>
      <w:r>
        <w:t xml:space="preserve">«Пожарно-технический минимум для </w:t>
      </w:r>
      <w:proofErr w:type="spellStart"/>
      <w:r>
        <w:t>электрогазосварщиков</w:t>
      </w:r>
      <w:proofErr w:type="spellEnd"/>
      <w:r>
        <w:t>»</w:t>
      </w:r>
    </w:p>
    <w:p w:rsidR="00E9627C" w:rsidRDefault="00E9627C">
      <w:pPr>
        <w:spacing w:before="2"/>
        <w:rPr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E9627C">
        <w:trPr>
          <w:trHeight w:val="827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76" w:lineRule="exact"/>
              <w:ind w:left="107" w:right="789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 наименование программы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Пожарно-технический минимум для </w:t>
            </w:r>
            <w:proofErr w:type="spellStart"/>
            <w:r>
              <w:rPr>
                <w:sz w:val="24"/>
              </w:rPr>
              <w:t>электрогазосварщиков</w:t>
            </w:r>
            <w:proofErr w:type="spellEnd"/>
          </w:p>
        </w:tc>
      </w:tr>
      <w:tr w:rsidR="00E9627C">
        <w:trPr>
          <w:trHeight w:val="275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Вид образования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Программа по безопасности труда</w:t>
            </w:r>
          </w:p>
        </w:tc>
      </w:tr>
      <w:tr w:rsidR="00E9627C">
        <w:trPr>
          <w:trHeight w:val="794"/>
        </w:trPr>
        <w:tc>
          <w:tcPr>
            <w:tcW w:w="2484" w:type="dxa"/>
          </w:tcPr>
          <w:p w:rsidR="00E9627C" w:rsidRDefault="000115BB">
            <w:pPr>
              <w:pStyle w:val="TableParagraph"/>
              <w:ind w:left="107" w:right="731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программы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tabs>
                <w:tab w:val="left" w:pos="1717"/>
                <w:tab w:val="left" w:pos="1783"/>
                <w:tab w:val="left" w:pos="2115"/>
                <w:tab w:val="left" w:pos="3108"/>
                <w:tab w:val="left" w:pos="3453"/>
                <w:tab w:val="left" w:pos="5647"/>
                <w:tab w:val="left" w:pos="5881"/>
                <w:tab w:val="left" w:pos="6320"/>
                <w:tab w:val="left" w:pos="6959"/>
              </w:tabs>
              <w:ind w:right="94"/>
              <w:rPr>
                <w:sz w:val="23"/>
              </w:rPr>
            </w:pPr>
            <w:r>
              <w:rPr>
                <w:sz w:val="23"/>
              </w:rPr>
              <w:t>Формирование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  <w:t xml:space="preserve">у  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слушателей</w:t>
            </w:r>
            <w:r>
              <w:rPr>
                <w:sz w:val="23"/>
              </w:rPr>
              <w:tab/>
              <w:t xml:space="preserve">необходимых  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знаний</w:t>
            </w:r>
            <w:r>
              <w:rPr>
                <w:sz w:val="23"/>
              </w:rPr>
              <w:tab/>
              <w:t>по</w:t>
            </w:r>
            <w:r>
              <w:rPr>
                <w:sz w:val="23"/>
              </w:rPr>
              <w:tab/>
            </w:r>
            <w:r>
              <w:rPr>
                <w:spacing w:val="-3"/>
                <w:sz w:val="23"/>
              </w:rPr>
              <w:t xml:space="preserve">пожарной </w:t>
            </w:r>
            <w:r>
              <w:rPr>
                <w:sz w:val="23"/>
              </w:rPr>
              <w:t>безопасности</w:t>
            </w:r>
            <w:r>
              <w:rPr>
                <w:sz w:val="23"/>
              </w:rPr>
              <w:tab/>
              <w:t>в</w:t>
            </w:r>
            <w:r>
              <w:rPr>
                <w:sz w:val="23"/>
              </w:rPr>
              <w:tab/>
              <w:t>объеме</w:t>
            </w:r>
            <w:r>
              <w:rPr>
                <w:sz w:val="23"/>
              </w:rPr>
              <w:tab/>
              <w:t>пожарно-технического</w:t>
            </w:r>
            <w:r>
              <w:rPr>
                <w:sz w:val="23"/>
              </w:rPr>
              <w:tab/>
              <w:t>минимума</w:t>
            </w:r>
            <w:r>
              <w:rPr>
                <w:sz w:val="23"/>
              </w:rPr>
              <w:tab/>
            </w:r>
            <w:r>
              <w:rPr>
                <w:spacing w:val="-6"/>
                <w:sz w:val="23"/>
              </w:rPr>
              <w:t>для</w:t>
            </w:r>
          </w:p>
          <w:p w:rsidR="00E9627C" w:rsidRDefault="000115BB">
            <w:pPr>
              <w:pStyle w:val="TableParagraph"/>
              <w:spacing w:line="25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газоэлектросварщиков</w:t>
            </w:r>
            <w:proofErr w:type="spellEnd"/>
            <w:r>
              <w:rPr>
                <w:sz w:val="23"/>
              </w:rPr>
              <w:t>.</w:t>
            </w:r>
          </w:p>
        </w:tc>
      </w:tr>
      <w:tr w:rsidR="00E9627C">
        <w:trPr>
          <w:trHeight w:val="3105"/>
        </w:trPr>
        <w:tc>
          <w:tcPr>
            <w:tcW w:w="2484" w:type="dxa"/>
          </w:tcPr>
          <w:p w:rsidR="00E9627C" w:rsidRDefault="000115BB">
            <w:pPr>
              <w:pStyle w:val="TableParagraph"/>
              <w:ind w:left="107"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Нормативная основа разработки программы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86" w:lineRule="exact"/>
              <w:ind w:left="819" w:hanging="349"/>
              <w:rPr>
                <w:sz w:val="24"/>
              </w:rPr>
            </w:pPr>
            <w:r>
              <w:rPr>
                <w:sz w:val="24"/>
              </w:rPr>
              <w:t>Приказ МЧС РФ от 12.12.2007 N 645 (ред. от 22.06.2010)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"Об</w:t>
            </w:r>
          </w:p>
          <w:p w:rsidR="00E9627C" w:rsidRDefault="000115BB">
            <w:pPr>
              <w:pStyle w:val="TableParagraph"/>
              <w:ind w:left="831"/>
              <w:rPr>
                <w:sz w:val="24"/>
              </w:rPr>
            </w:pPr>
            <w:r>
              <w:rPr>
                <w:sz w:val="24"/>
              </w:rPr>
              <w:t>утверждении Норм пожарной безопасности "Обучение мерам пожарной безопасности работников организаций";</w:t>
            </w:r>
          </w:p>
          <w:p w:rsidR="00E9627C" w:rsidRDefault="000115BB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3" w:line="237" w:lineRule="auto"/>
              <w:ind w:right="145" w:hanging="360"/>
              <w:rPr>
                <w:sz w:val="24"/>
              </w:rPr>
            </w:pPr>
            <w:r>
              <w:rPr>
                <w:sz w:val="24"/>
              </w:rPr>
              <w:t>Федеральный закон от 21.12.1994 N 69-ФЗ (ред. от 22.12.2020) "О пожарной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безопасности";</w:t>
            </w:r>
          </w:p>
          <w:p w:rsidR="00E9627C" w:rsidRDefault="000115BB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5" w:line="237" w:lineRule="auto"/>
              <w:ind w:right="204" w:hanging="360"/>
              <w:rPr>
                <w:sz w:val="24"/>
              </w:rPr>
            </w:pPr>
            <w:r>
              <w:rPr>
                <w:sz w:val="24"/>
              </w:rPr>
              <w:t>Федеральный закон от 22.07.2008 N 123-ФЗ (ред. от 27.12.2018) "Тех</w:t>
            </w:r>
            <w:r>
              <w:rPr>
                <w:sz w:val="24"/>
              </w:rPr>
              <w:t>нический регламент о требованиях пожарной безопасности";</w:t>
            </w:r>
          </w:p>
          <w:p w:rsidR="00E9627C" w:rsidRDefault="000115BB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5" w:line="276" w:lineRule="exact"/>
              <w:ind w:right="311" w:hanging="360"/>
              <w:rPr>
                <w:sz w:val="24"/>
              </w:rPr>
            </w:pPr>
            <w:r>
              <w:rPr>
                <w:sz w:val="24"/>
              </w:rPr>
              <w:t>Постановление Правительства РФ от 16.09.2020 N 1479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(ред. от 31.12.2020) "Об утверждении Правил противопожарного режима в Российской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Федерации".</w:t>
            </w:r>
          </w:p>
        </w:tc>
      </w:tr>
      <w:tr w:rsidR="00E9627C">
        <w:trPr>
          <w:trHeight w:val="4846"/>
        </w:trPr>
        <w:tc>
          <w:tcPr>
            <w:tcW w:w="2484" w:type="dxa"/>
          </w:tcPr>
          <w:p w:rsidR="00E9627C" w:rsidRDefault="000115BB">
            <w:pPr>
              <w:pStyle w:val="TableParagraph"/>
              <w:ind w:left="107" w:right="811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обучения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Слушатель </w:t>
            </w:r>
            <w:r>
              <w:rPr>
                <w:b/>
                <w:sz w:val="24"/>
              </w:rPr>
              <w:t>должен знать: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4" w:line="237" w:lineRule="auto"/>
              <w:ind w:right="840" w:hanging="360"/>
              <w:rPr>
                <w:sz w:val="24"/>
              </w:rPr>
            </w:pPr>
            <w:r>
              <w:rPr>
                <w:sz w:val="24"/>
              </w:rPr>
              <w:t>основные нормативные документы,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регламентирующие требования пожарной безопасности при проведении пожароопасных работ;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5" w:line="293" w:lineRule="exact"/>
              <w:ind w:left="819" w:hanging="349"/>
              <w:rPr>
                <w:sz w:val="24"/>
              </w:rPr>
            </w:pPr>
            <w:r>
              <w:rPr>
                <w:sz w:val="24"/>
              </w:rPr>
              <w:t>понятие, виды пожароопасных работ;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93" w:lineRule="exact"/>
              <w:ind w:left="819" w:hanging="349"/>
              <w:rPr>
                <w:sz w:val="24"/>
              </w:rPr>
            </w:pPr>
            <w:r>
              <w:rPr>
                <w:sz w:val="24"/>
              </w:rPr>
              <w:t>причины возникновения пожаров, меры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предупреждения;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2" w:line="237" w:lineRule="auto"/>
              <w:ind w:right="1005" w:hanging="360"/>
              <w:rPr>
                <w:sz w:val="24"/>
              </w:rPr>
            </w:pPr>
            <w:r>
              <w:rPr>
                <w:sz w:val="24"/>
              </w:rPr>
              <w:t>противопожарное оборудование и инвентарь,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порядок использования 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пожаре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2" w:line="293" w:lineRule="exact"/>
              <w:ind w:left="819" w:hanging="349"/>
              <w:rPr>
                <w:sz w:val="24"/>
              </w:rPr>
            </w:pPr>
            <w:r>
              <w:rPr>
                <w:sz w:val="24"/>
              </w:rPr>
              <w:t>действия 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пожарах;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211" w:hanging="360"/>
              <w:rPr>
                <w:sz w:val="24"/>
              </w:rPr>
            </w:pPr>
            <w:r>
              <w:rPr>
                <w:sz w:val="24"/>
              </w:rPr>
              <w:t>пожароопасные свойства легко воспламеняющихся веществ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и материалов.</w:t>
            </w:r>
          </w:p>
          <w:p w:rsidR="00E9627C" w:rsidRDefault="000115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Слушатель </w:t>
            </w:r>
            <w:r>
              <w:rPr>
                <w:b/>
                <w:sz w:val="24"/>
              </w:rPr>
              <w:t>должен уметь: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4" w:line="237" w:lineRule="auto"/>
              <w:ind w:right="911" w:hanging="360"/>
              <w:rPr>
                <w:sz w:val="24"/>
              </w:rPr>
            </w:pPr>
            <w:r>
              <w:rPr>
                <w:sz w:val="24"/>
              </w:rPr>
              <w:t>использовать огнетушитель на смоделированном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очаге пожара;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5" w:line="237" w:lineRule="auto"/>
              <w:ind w:right="1070" w:hanging="360"/>
              <w:rPr>
                <w:sz w:val="24"/>
              </w:rPr>
            </w:pPr>
            <w:r>
              <w:rPr>
                <w:sz w:val="24"/>
              </w:rPr>
              <w:t>действов</w:t>
            </w:r>
            <w:r>
              <w:rPr>
                <w:sz w:val="24"/>
              </w:rPr>
              <w:t>ать при обнаружении на территории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объекта задымления, загорания,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пожара;</w:t>
            </w:r>
          </w:p>
          <w:p w:rsidR="00E9627C" w:rsidRDefault="000115BB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2" w:line="279" w:lineRule="exact"/>
              <w:ind w:left="819" w:hanging="349"/>
              <w:rPr>
                <w:sz w:val="24"/>
              </w:rPr>
            </w:pPr>
            <w:r>
              <w:rPr>
                <w:sz w:val="24"/>
              </w:rPr>
              <w:t>организовывать эвакуацию людей.</w:t>
            </w:r>
          </w:p>
        </w:tc>
      </w:tr>
      <w:tr w:rsidR="00E9627C">
        <w:trPr>
          <w:trHeight w:val="3864"/>
        </w:trPr>
        <w:tc>
          <w:tcPr>
            <w:tcW w:w="2484" w:type="dxa"/>
          </w:tcPr>
          <w:p w:rsidR="00E9627C" w:rsidRDefault="000115BB">
            <w:pPr>
              <w:pStyle w:val="TableParagraph"/>
              <w:ind w:left="107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теоретической части программы</w:t>
            </w:r>
          </w:p>
        </w:tc>
        <w:tc>
          <w:tcPr>
            <w:tcW w:w="7405" w:type="dxa"/>
          </w:tcPr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нормативные документы, регламентирующие требования пожарной безопасности при проведении пожароопасных работ 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Виды и порядок проведения пожароопасных работ. Пожарная опасность веществ и материалов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Причины возникновения пожаров, меры предупреждения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Особенности пожарной опасности при ведении огневых работ во взрывопожароопасных объектах и установках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Газосварочные и электросварочные работы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Постоянные и временные посты. Порядок оформления разрешения наряда-допуска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Противопожарное оборудование и инвентарь, порядок использования при пожаре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Действия при пожаре</w:t>
            </w:r>
          </w:p>
          <w:p w:rsidR="000115BB" w:rsidRPr="000115BB" w:rsidRDefault="000115BB" w:rsidP="000115B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0115BB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  <w:p w:rsidR="00E9627C" w:rsidRDefault="000115BB" w:rsidP="000115BB">
            <w:pPr>
              <w:pStyle w:val="TableParagraph"/>
              <w:tabs>
                <w:tab w:val="left" w:pos="1220"/>
                <w:tab w:val="left" w:pos="4947"/>
              </w:tabs>
              <w:spacing w:line="264" w:lineRule="exact"/>
              <w:ind w:left="0"/>
              <w:rPr>
                <w:sz w:val="24"/>
              </w:rPr>
            </w:pPr>
            <w:r w:rsidRPr="000115BB">
              <w:rPr>
                <w:sz w:val="24"/>
                <w:szCs w:val="24"/>
              </w:rPr>
              <w:t>Зачет</w:t>
            </w:r>
          </w:p>
        </w:tc>
      </w:tr>
    </w:tbl>
    <w:p w:rsidR="00E9627C" w:rsidRDefault="00E9627C">
      <w:pPr>
        <w:spacing w:line="264" w:lineRule="exact"/>
        <w:rPr>
          <w:sz w:val="24"/>
        </w:rPr>
        <w:sectPr w:rsidR="00E9627C">
          <w:type w:val="continuous"/>
          <w:pgSz w:w="11910" w:h="16840"/>
          <w:pgMar w:top="880" w:right="88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E9627C" w:rsidTr="000115BB">
        <w:trPr>
          <w:trHeight w:val="132"/>
        </w:trPr>
        <w:tc>
          <w:tcPr>
            <w:tcW w:w="2484" w:type="dxa"/>
          </w:tcPr>
          <w:p w:rsidR="00E9627C" w:rsidRDefault="00E9627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05" w:type="dxa"/>
          </w:tcPr>
          <w:p w:rsidR="00E9627C" w:rsidRDefault="00E9627C">
            <w:pPr>
              <w:pStyle w:val="TableParagraph"/>
              <w:spacing w:line="270" w:lineRule="atLeast"/>
              <w:rPr>
                <w:sz w:val="24"/>
              </w:rPr>
            </w:pPr>
          </w:p>
        </w:tc>
      </w:tr>
      <w:tr w:rsidR="00E9627C">
        <w:trPr>
          <w:trHeight w:val="828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</w:p>
          <w:p w:rsidR="00E9627C" w:rsidRDefault="000115BB">
            <w:pPr>
              <w:pStyle w:val="TableParagraph"/>
              <w:spacing w:line="270" w:lineRule="atLeast"/>
              <w:ind w:left="107" w:right="854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 программы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tabs>
                <w:tab w:val="left" w:pos="617"/>
                <w:tab w:val="left" w:pos="2423"/>
                <w:tab w:val="left" w:pos="3183"/>
                <w:tab w:val="left" w:pos="4317"/>
                <w:tab w:val="left" w:pos="4910"/>
                <w:tab w:val="left" w:pos="5702"/>
                <w:tab w:val="left" w:pos="716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</w:rPr>
              <w:tab/>
              <w:t>академических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часа,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включая</w:t>
            </w:r>
            <w:r>
              <w:rPr>
                <w:sz w:val="24"/>
              </w:rPr>
              <w:tab/>
              <w:t>все</w:t>
            </w:r>
            <w:r>
              <w:rPr>
                <w:sz w:val="24"/>
              </w:rPr>
              <w:tab/>
              <w:t>виды</w:t>
            </w:r>
            <w:r>
              <w:rPr>
                <w:sz w:val="24"/>
              </w:rPr>
              <w:tab/>
              <w:t>аудиторной</w:t>
            </w:r>
            <w:r>
              <w:rPr>
                <w:sz w:val="24"/>
              </w:rPr>
              <w:tab/>
              <w:t>и</w:t>
            </w:r>
          </w:p>
          <w:p w:rsidR="00E9627C" w:rsidRDefault="000115BB">
            <w:pPr>
              <w:pStyle w:val="TableParagraph"/>
              <w:spacing w:line="270" w:lineRule="atLeast"/>
              <w:ind w:right="106"/>
              <w:rPr>
                <w:sz w:val="24"/>
              </w:rPr>
            </w:pPr>
            <w:r>
              <w:rPr>
                <w:sz w:val="24"/>
              </w:rPr>
              <w:t>внеаудиторной (самостоятельной) учебной работы слушателя, а также практическое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обучение.</w:t>
            </w:r>
          </w:p>
        </w:tc>
      </w:tr>
      <w:tr w:rsidR="00E9627C">
        <w:trPr>
          <w:trHeight w:val="551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Форма обучения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tabs>
                <w:tab w:val="left" w:pos="1035"/>
                <w:tab w:val="left" w:pos="2279"/>
                <w:tab w:val="left" w:pos="3301"/>
                <w:tab w:val="left" w:pos="5016"/>
                <w:tab w:val="left" w:pos="641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Очная.</w:t>
            </w:r>
            <w:r>
              <w:rPr>
                <w:sz w:val="24"/>
              </w:rPr>
              <w:tab/>
              <w:t>Основной</w:t>
            </w:r>
            <w:r>
              <w:rPr>
                <w:sz w:val="24"/>
              </w:rPr>
              <w:tab/>
              <w:t>формой</w:t>
            </w:r>
            <w:r>
              <w:rPr>
                <w:sz w:val="24"/>
              </w:rPr>
              <w:tab/>
              <w:t>теоретической</w:t>
            </w:r>
            <w:r>
              <w:rPr>
                <w:sz w:val="24"/>
              </w:rPr>
              <w:tab/>
              <w:t>подготовки</w:t>
            </w:r>
            <w:r>
              <w:rPr>
                <w:sz w:val="24"/>
              </w:rPr>
              <w:tab/>
              <w:t>является</w:t>
            </w:r>
          </w:p>
          <w:p w:rsidR="00E9627C" w:rsidRDefault="000115B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лекция.</w:t>
            </w:r>
          </w:p>
        </w:tc>
      </w:tr>
      <w:tr w:rsidR="00E9627C">
        <w:trPr>
          <w:trHeight w:val="827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занятий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Учебная нагрузка устанавливается не более 8 часов теоретического обучения в день, включая все виды аудиторной и внеаудиторной</w:t>
            </w:r>
          </w:p>
          <w:p w:rsidR="00E9627C" w:rsidRDefault="000115B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(самостоятельной) учебной работы слушателя.</w:t>
            </w:r>
          </w:p>
        </w:tc>
      </w:tr>
      <w:tr w:rsidR="00E9627C">
        <w:trPr>
          <w:trHeight w:val="551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76" w:lineRule="exact"/>
              <w:ind w:left="107" w:right="1059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 слушателей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Работники, выполняющие </w:t>
            </w:r>
            <w:proofErr w:type="spellStart"/>
            <w:r>
              <w:rPr>
                <w:sz w:val="24"/>
              </w:rPr>
              <w:t>газоэлектросварочные</w:t>
            </w:r>
            <w:proofErr w:type="spellEnd"/>
            <w:r>
              <w:rPr>
                <w:sz w:val="24"/>
              </w:rPr>
              <w:t xml:space="preserve"> и другие огневые</w:t>
            </w:r>
          </w:p>
          <w:p w:rsidR="00E9627C" w:rsidRDefault="000115B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</w:tr>
      <w:tr w:rsidR="00E9627C">
        <w:trPr>
          <w:trHeight w:val="2208"/>
        </w:trPr>
        <w:tc>
          <w:tcPr>
            <w:tcW w:w="2484" w:type="dxa"/>
          </w:tcPr>
          <w:p w:rsidR="00E9627C" w:rsidRDefault="000115BB">
            <w:pPr>
              <w:pStyle w:val="TableParagraph"/>
              <w:ind w:left="107"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квалификации педагогических кадров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Высшее профессиональное образование или среднее профессиональное образование по направлению подготовки</w:t>
            </w:r>
          </w:p>
          <w:p w:rsidR="00E9627C" w:rsidRDefault="000115BB">
            <w:pPr>
              <w:pStyle w:val="TableParagraph"/>
              <w:spacing w:line="27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«Образование и педагогика» или в области, соответствующей преподаваемому предмету, без предъявления требований к стажу работы либо высшее профессионально</w:t>
            </w:r>
            <w:r>
              <w:rPr>
                <w:sz w:val="24"/>
              </w:rPr>
              <w:t>е образование или среднее профессиональное образование и дополнительное профессиональное образование по направлению деятельности в образовательном учреждении без предъявления требований к стажу работы.</w:t>
            </w:r>
          </w:p>
        </w:tc>
      </w:tr>
      <w:tr w:rsidR="00E9627C">
        <w:trPr>
          <w:trHeight w:val="1461"/>
        </w:trPr>
        <w:tc>
          <w:tcPr>
            <w:tcW w:w="2484" w:type="dxa"/>
          </w:tcPr>
          <w:p w:rsidR="00E9627C" w:rsidRDefault="000115BB">
            <w:pPr>
              <w:pStyle w:val="TableParagraph"/>
              <w:ind w:left="107"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качества освоения программы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Текущая аттестация</w:t>
            </w:r>
            <w:r>
              <w:rPr>
                <w:sz w:val="24"/>
              </w:rPr>
              <w:t>:</w:t>
            </w:r>
          </w:p>
          <w:p w:rsidR="00E9627C" w:rsidRDefault="000115BB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before="2"/>
              <w:ind w:left="476"/>
              <w:rPr>
                <w:sz w:val="24"/>
              </w:rPr>
            </w:pPr>
            <w:r>
              <w:rPr>
                <w:sz w:val="24"/>
              </w:rPr>
              <w:t>письменные опросы 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теории;</w:t>
            </w:r>
          </w:p>
          <w:p w:rsidR="00E9627C" w:rsidRDefault="000115BB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before="41" w:line="276" w:lineRule="auto"/>
              <w:ind w:right="4719" w:firstLine="0"/>
              <w:rPr>
                <w:sz w:val="24"/>
              </w:rPr>
            </w:pPr>
            <w:r>
              <w:rPr>
                <w:sz w:val="24"/>
              </w:rPr>
              <w:t xml:space="preserve">контрольные </w:t>
            </w:r>
            <w:r>
              <w:rPr>
                <w:spacing w:val="-3"/>
                <w:sz w:val="24"/>
              </w:rPr>
              <w:t xml:space="preserve">работы; </w:t>
            </w:r>
            <w:r>
              <w:rPr>
                <w:sz w:val="24"/>
              </w:rPr>
              <w:t>Итоговая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аттестация:</w:t>
            </w:r>
          </w:p>
          <w:p w:rsidR="00E9627C" w:rsidRDefault="000115BB">
            <w:pPr>
              <w:pStyle w:val="TableParagraph"/>
              <w:numPr>
                <w:ilvl w:val="0"/>
                <w:numId w:val="1"/>
              </w:numPr>
              <w:tabs>
                <w:tab w:val="left" w:pos="431"/>
              </w:tabs>
              <w:spacing w:line="220" w:lineRule="exact"/>
              <w:ind w:left="430" w:hanging="261"/>
              <w:rPr>
                <w:sz w:val="24"/>
              </w:rPr>
            </w:pPr>
            <w:r>
              <w:rPr>
                <w:sz w:val="24"/>
              </w:rPr>
              <w:t>зачет.</w:t>
            </w:r>
          </w:p>
        </w:tc>
      </w:tr>
      <w:tr w:rsidR="00E9627C">
        <w:trPr>
          <w:trHeight w:val="827"/>
        </w:trPr>
        <w:tc>
          <w:tcPr>
            <w:tcW w:w="2484" w:type="dxa"/>
          </w:tcPr>
          <w:p w:rsidR="00E9627C" w:rsidRDefault="000115BB">
            <w:pPr>
              <w:pStyle w:val="TableParagraph"/>
              <w:spacing w:line="276" w:lineRule="exact"/>
              <w:ind w:left="107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>Языки, на которых осуществляется обучение</w:t>
            </w:r>
          </w:p>
        </w:tc>
        <w:tc>
          <w:tcPr>
            <w:tcW w:w="7405" w:type="dxa"/>
          </w:tcPr>
          <w:p w:rsidR="00E9627C" w:rsidRDefault="000115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Обучение ведется на русском языке.</w:t>
            </w:r>
          </w:p>
        </w:tc>
      </w:tr>
    </w:tbl>
    <w:p w:rsidR="00000000" w:rsidRDefault="000115BB"/>
    <w:p w:rsidR="000115BB" w:rsidRDefault="000115BB"/>
    <w:p w:rsidR="000115BB" w:rsidRDefault="000115BB">
      <w:bookmarkStart w:id="0" w:name="_GoBack"/>
      <w:bookmarkEnd w:id="0"/>
    </w:p>
    <w:sectPr w:rsidR="000115BB">
      <w:pgSz w:w="11910" w:h="16840"/>
      <w:pgMar w:top="400" w:right="8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7513"/>
    <w:multiLevelType w:val="hybridMultilevel"/>
    <w:tmpl w:val="314A3BD4"/>
    <w:lvl w:ilvl="0" w:tplc="9E7A3E6E">
      <w:numFmt w:val="bullet"/>
      <w:lvlText w:val="-"/>
      <w:lvlJc w:val="left"/>
      <w:pPr>
        <w:ind w:left="110" w:hanging="36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1" w:tplc="5256FCA2">
      <w:numFmt w:val="bullet"/>
      <w:lvlText w:val="•"/>
      <w:lvlJc w:val="left"/>
      <w:pPr>
        <w:ind w:left="847" w:hanging="366"/>
      </w:pPr>
      <w:rPr>
        <w:rFonts w:hint="default"/>
        <w:lang w:val="ru-RU" w:eastAsia="ru-RU" w:bidi="ru-RU"/>
      </w:rPr>
    </w:lvl>
    <w:lvl w:ilvl="2" w:tplc="87460948">
      <w:numFmt w:val="bullet"/>
      <w:lvlText w:val="•"/>
      <w:lvlJc w:val="left"/>
      <w:pPr>
        <w:ind w:left="1575" w:hanging="366"/>
      </w:pPr>
      <w:rPr>
        <w:rFonts w:hint="default"/>
        <w:lang w:val="ru-RU" w:eastAsia="ru-RU" w:bidi="ru-RU"/>
      </w:rPr>
    </w:lvl>
    <w:lvl w:ilvl="3" w:tplc="53AEBA5A">
      <w:numFmt w:val="bullet"/>
      <w:lvlText w:val="•"/>
      <w:lvlJc w:val="left"/>
      <w:pPr>
        <w:ind w:left="2302" w:hanging="366"/>
      </w:pPr>
      <w:rPr>
        <w:rFonts w:hint="default"/>
        <w:lang w:val="ru-RU" w:eastAsia="ru-RU" w:bidi="ru-RU"/>
      </w:rPr>
    </w:lvl>
    <w:lvl w:ilvl="4" w:tplc="AF0A7F9A">
      <w:numFmt w:val="bullet"/>
      <w:lvlText w:val="•"/>
      <w:lvlJc w:val="left"/>
      <w:pPr>
        <w:ind w:left="3030" w:hanging="366"/>
      </w:pPr>
      <w:rPr>
        <w:rFonts w:hint="default"/>
        <w:lang w:val="ru-RU" w:eastAsia="ru-RU" w:bidi="ru-RU"/>
      </w:rPr>
    </w:lvl>
    <w:lvl w:ilvl="5" w:tplc="B568CBC8">
      <w:numFmt w:val="bullet"/>
      <w:lvlText w:val="•"/>
      <w:lvlJc w:val="left"/>
      <w:pPr>
        <w:ind w:left="3757" w:hanging="366"/>
      </w:pPr>
      <w:rPr>
        <w:rFonts w:hint="default"/>
        <w:lang w:val="ru-RU" w:eastAsia="ru-RU" w:bidi="ru-RU"/>
      </w:rPr>
    </w:lvl>
    <w:lvl w:ilvl="6" w:tplc="464E9824">
      <w:numFmt w:val="bullet"/>
      <w:lvlText w:val="•"/>
      <w:lvlJc w:val="left"/>
      <w:pPr>
        <w:ind w:left="4485" w:hanging="366"/>
      </w:pPr>
      <w:rPr>
        <w:rFonts w:hint="default"/>
        <w:lang w:val="ru-RU" w:eastAsia="ru-RU" w:bidi="ru-RU"/>
      </w:rPr>
    </w:lvl>
    <w:lvl w:ilvl="7" w:tplc="48DA2EEA">
      <w:numFmt w:val="bullet"/>
      <w:lvlText w:val="•"/>
      <w:lvlJc w:val="left"/>
      <w:pPr>
        <w:ind w:left="5212" w:hanging="366"/>
      </w:pPr>
      <w:rPr>
        <w:rFonts w:hint="default"/>
        <w:lang w:val="ru-RU" w:eastAsia="ru-RU" w:bidi="ru-RU"/>
      </w:rPr>
    </w:lvl>
    <w:lvl w:ilvl="8" w:tplc="1FA45326">
      <w:numFmt w:val="bullet"/>
      <w:lvlText w:val="•"/>
      <w:lvlJc w:val="left"/>
      <w:pPr>
        <w:ind w:left="5940" w:hanging="366"/>
      </w:pPr>
      <w:rPr>
        <w:rFonts w:hint="default"/>
        <w:lang w:val="ru-RU" w:eastAsia="ru-RU" w:bidi="ru-RU"/>
      </w:rPr>
    </w:lvl>
  </w:abstractNum>
  <w:abstractNum w:abstractNumId="1" w15:restartNumberingAfterBreak="0">
    <w:nsid w:val="1AC23CEE"/>
    <w:multiLevelType w:val="hybridMultilevel"/>
    <w:tmpl w:val="4CEC4AF6"/>
    <w:lvl w:ilvl="0" w:tplc="1174DE5E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4B0A200A">
      <w:numFmt w:val="bullet"/>
      <w:lvlText w:val="•"/>
      <w:lvlJc w:val="left"/>
      <w:pPr>
        <w:ind w:left="1495" w:hanging="348"/>
      </w:pPr>
      <w:rPr>
        <w:rFonts w:hint="default"/>
        <w:lang w:val="ru-RU" w:eastAsia="ru-RU" w:bidi="ru-RU"/>
      </w:rPr>
    </w:lvl>
    <w:lvl w:ilvl="2" w:tplc="A858BF92">
      <w:numFmt w:val="bullet"/>
      <w:lvlText w:val="•"/>
      <w:lvlJc w:val="left"/>
      <w:pPr>
        <w:ind w:left="2151" w:hanging="348"/>
      </w:pPr>
      <w:rPr>
        <w:rFonts w:hint="default"/>
        <w:lang w:val="ru-RU" w:eastAsia="ru-RU" w:bidi="ru-RU"/>
      </w:rPr>
    </w:lvl>
    <w:lvl w:ilvl="3" w:tplc="D87EE8A4">
      <w:numFmt w:val="bullet"/>
      <w:lvlText w:val="•"/>
      <w:lvlJc w:val="left"/>
      <w:pPr>
        <w:ind w:left="2806" w:hanging="348"/>
      </w:pPr>
      <w:rPr>
        <w:rFonts w:hint="default"/>
        <w:lang w:val="ru-RU" w:eastAsia="ru-RU" w:bidi="ru-RU"/>
      </w:rPr>
    </w:lvl>
    <w:lvl w:ilvl="4" w:tplc="8FEA87F2">
      <w:numFmt w:val="bullet"/>
      <w:lvlText w:val="•"/>
      <w:lvlJc w:val="left"/>
      <w:pPr>
        <w:ind w:left="3462" w:hanging="348"/>
      </w:pPr>
      <w:rPr>
        <w:rFonts w:hint="default"/>
        <w:lang w:val="ru-RU" w:eastAsia="ru-RU" w:bidi="ru-RU"/>
      </w:rPr>
    </w:lvl>
    <w:lvl w:ilvl="5" w:tplc="BD003FEC">
      <w:numFmt w:val="bullet"/>
      <w:lvlText w:val="•"/>
      <w:lvlJc w:val="left"/>
      <w:pPr>
        <w:ind w:left="4117" w:hanging="348"/>
      </w:pPr>
      <w:rPr>
        <w:rFonts w:hint="default"/>
        <w:lang w:val="ru-RU" w:eastAsia="ru-RU" w:bidi="ru-RU"/>
      </w:rPr>
    </w:lvl>
    <w:lvl w:ilvl="6" w:tplc="A3208D9C">
      <w:numFmt w:val="bullet"/>
      <w:lvlText w:val="•"/>
      <w:lvlJc w:val="left"/>
      <w:pPr>
        <w:ind w:left="4773" w:hanging="348"/>
      </w:pPr>
      <w:rPr>
        <w:rFonts w:hint="default"/>
        <w:lang w:val="ru-RU" w:eastAsia="ru-RU" w:bidi="ru-RU"/>
      </w:rPr>
    </w:lvl>
    <w:lvl w:ilvl="7" w:tplc="3C028782">
      <w:numFmt w:val="bullet"/>
      <w:lvlText w:val="•"/>
      <w:lvlJc w:val="left"/>
      <w:pPr>
        <w:ind w:left="5428" w:hanging="348"/>
      </w:pPr>
      <w:rPr>
        <w:rFonts w:hint="default"/>
        <w:lang w:val="ru-RU" w:eastAsia="ru-RU" w:bidi="ru-RU"/>
      </w:rPr>
    </w:lvl>
    <w:lvl w:ilvl="8" w:tplc="313671FA">
      <w:numFmt w:val="bullet"/>
      <w:lvlText w:val="•"/>
      <w:lvlJc w:val="left"/>
      <w:pPr>
        <w:ind w:left="6084" w:hanging="348"/>
      </w:pPr>
      <w:rPr>
        <w:rFonts w:hint="default"/>
        <w:lang w:val="ru-RU" w:eastAsia="ru-RU" w:bidi="ru-RU"/>
      </w:rPr>
    </w:lvl>
  </w:abstractNum>
  <w:abstractNum w:abstractNumId="2" w15:restartNumberingAfterBreak="0">
    <w:nsid w:val="7FD31281"/>
    <w:multiLevelType w:val="hybridMultilevel"/>
    <w:tmpl w:val="0B8A18A6"/>
    <w:lvl w:ilvl="0" w:tplc="E2C41AB2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683090F4">
      <w:numFmt w:val="bullet"/>
      <w:lvlText w:val="•"/>
      <w:lvlJc w:val="left"/>
      <w:pPr>
        <w:ind w:left="1495" w:hanging="348"/>
      </w:pPr>
      <w:rPr>
        <w:rFonts w:hint="default"/>
        <w:lang w:val="ru-RU" w:eastAsia="ru-RU" w:bidi="ru-RU"/>
      </w:rPr>
    </w:lvl>
    <w:lvl w:ilvl="2" w:tplc="6AE69BC0">
      <w:numFmt w:val="bullet"/>
      <w:lvlText w:val="•"/>
      <w:lvlJc w:val="left"/>
      <w:pPr>
        <w:ind w:left="2151" w:hanging="348"/>
      </w:pPr>
      <w:rPr>
        <w:rFonts w:hint="default"/>
        <w:lang w:val="ru-RU" w:eastAsia="ru-RU" w:bidi="ru-RU"/>
      </w:rPr>
    </w:lvl>
    <w:lvl w:ilvl="3" w:tplc="984E6182">
      <w:numFmt w:val="bullet"/>
      <w:lvlText w:val="•"/>
      <w:lvlJc w:val="left"/>
      <w:pPr>
        <w:ind w:left="2806" w:hanging="348"/>
      </w:pPr>
      <w:rPr>
        <w:rFonts w:hint="default"/>
        <w:lang w:val="ru-RU" w:eastAsia="ru-RU" w:bidi="ru-RU"/>
      </w:rPr>
    </w:lvl>
    <w:lvl w:ilvl="4" w:tplc="1B527988">
      <w:numFmt w:val="bullet"/>
      <w:lvlText w:val="•"/>
      <w:lvlJc w:val="left"/>
      <w:pPr>
        <w:ind w:left="3462" w:hanging="348"/>
      </w:pPr>
      <w:rPr>
        <w:rFonts w:hint="default"/>
        <w:lang w:val="ru-RU" w:eastAsia="ru-RU" w:bidi="ru-RU"/>
      </w:rPr>
    </w:lvl>
    <w:lvl w:ilvl="5" w:tplc="F7A4D8B4">
      <w:numFmt w:val="bullet"/>
      <w:lvlText w:val="•"/>
      <w:lvlJc w:val="left"/>
      <w:pPr>
        <w:ind w:left="4117" w:hanging="348"/>
      </w:pPr>
      <w:rPr>
        <w:rFonts w:hint="default"/>
        <w:lang w:val="ru-RU" w:eastAsia="ru-RU" w:bidi="ru-RU"/>
      </w:rPr>
    </w:lvl>
    <w:lvl w:ilvl="6" w:tplc="25FCA908">
      <w:numFmt w:val="bullet"/>
      <w:lvlText w:val="•"/>
      <w:lvlJc w:val="left"/>
      <w:pPr>
        <w:ind w:left="4773" w:hanging="348"/>
      </w:pPr>
      <w:rPr>
        <w:rFonts w:hint="default"/>
        <w:lang w:val="ru-RU" w:eastAsia="ru-RU" w:bidi="ru-RU"/>
      </w:rPr>
    </w:lvl>
    <w:lvl w:ilvl="7" w:tplc="4A400EE4">
      <w:numFmt w:val="bullet"/>
      <w:lvlText w:val="•"/>
      <w:lvlJc w:val="left"/>
      <w:pPr>
        <w:ind w:left="5428" w:hanging="348"/>
      </w:pPr>
      <w:rPr>
        <w:rFonts w:hint="default"/>
        <w:lang w:val="ru-RU" w:eastAsia="ru-RU" w:bidi="ru-RU"/>
      </w:rPr>
    </w:lvl>
    <w:lvl w:ilvl="8" w:tplc="7D7675CC">
      <w:numFmt w:val="bullet"/>
      <w:lvlText w:val="•"/>
      <w:lvlJc w:val="left"/>
      <w:pPr>
        <w:ind w:left="6084" w:hanging="34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9627C"/>
    <w:rsid w:val="000115BB"/>
    <w:rsid w:val="00E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AEDE9-84D9-496B-9F99-336B71C7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  <w:ind w:right="875"/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customStyle="1" w:styleId="a5">
    <w:name w:val="Нормальный (таблица)"/>
    <w:basedOn w:val="a"/>
    <w:next w:val="a"/>
    <w:uiPriority w:val="99"/>
    <w:rsid w:val="000115BB"/>
    <w:pPr>
      <w:adjustRightInd w:val="0"/>
      <w:jc w:val="both"/>
    </w:pPr>
    <w:rPr>
      <w:rFonts w:ascii="Arial" w:hAnsi="Arial" w:cs="Arial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УЧЕБНАЯ ПРОГРАММА ДЛЯ ПОДГОТОВКИ РАБОЧИХ «ЛЮЛЬКИ»,</dc:title>
  <dc:creator>1</dc:creator>
  <cp:lastModifiedBy>Наталья</cp:lastModifiedBy>
  <cp:revision>2</cp:revision>
  <dcterms:created xsi:type="dcterms:W3CDTF">2022-02-25T05:24:00Z</dcterms:created>
  <dcterms:modified xsi:type="dcterms:W3CDTF">2022-02-25T05:55:00Z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</Properties>
</file>