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Student Performance Predictor</w:t>
      </w:r>
    </w:p>
    <w:p>
      <w:pPr>
        <w:spacing w:after="60"/>
      </w:pPr>
      <w:r>
        <w:rPr>
          <w:color w:val="555555"/>
          <w:sz w:val="24"/>
          <w:szCs w:val="24"/>
        </w:rPr>
        <w:t xml:space="preserve">AI Lab Project — Short Report</w:t>
      </w:r>
    </w:p>
    <w:p>
      <w:pPr>
        <w:spacing w:after="300"/>
      </w:pPr>
      <w:r>
        <w:rPr>
          <w:sz w:val="22"/>
          <w:szCs w:val="22"/>
        </w:rPr>
        <w:t xml:space="preserve">Author: Mehr Hussain</w:t>
      </w:r>
    </w:p>
    <w:p>
      <w:pPr>
        <w:pStyle w:val="Heading1"/>
        <w:spacing w:after="140" w:before="280"/>
      </w:pPr>
      <w:r>
        <w:t xml:space="preserve">1. Problem</w:t>
      </w:r>
    </w:p>
    <w:p>
      <w:pPr>
        <w:spacing w:after="160"/>
      </w:pPr>
      <w:r>
        <w:t xml:space="preserve">Educators need an early, evidence-based way to identify students who are at risk of failing, before final exams make it too late to intervene. This project builds a tool that predicts a student's pass/fail outcome from everyday, easily-collected inputs (study hours, attendance, prior score, sleep, and extra classes), and explains which factors are driving that prediction — so the output is actionable, not just a black-box label.</w:t>
      </w:r>
    </w:p>
    <w:p>
      <w:pPr>
        <w:pStyle w:val="Heading1"/>
        <w:spacing w:after="140" w:before="280"/>
      </w:pPr>
      <w:r>
        <w:t xml:space="preserve">2. Method</w:t>
      </w:r>
    </w:p>
    <w:p>
      <w:pPr>
        <w:pStyle w:val="ListParagraph"/>
        <w:numPr>
          <w:ilvl w:val="0"/>
          <w:numId w:val="1"/>
        </w:numPr>
        <w:spacing w:after="80"/>
      </w:pPr>
      <w:r>
        <w:t xml:space="preserve">Data: a synthetic dataset of 400 students was generated with a reproducible, seeded script. Five features feed into an underlying scoring formula plus random noise, giving realistic but non-trivial relationships for the models to learn.</w:t>
      </w:r>
    </w:p>
    <w:p>
      <w:pPr>
        <w:pStyle w:val="ListParagraph"/>
        <w:numPr>
          <w:ilvl w:val="0"/>
          <w:numId w:val="1"/>
        </w:numPr>
        <w:spacing w:after="80"/>
      </w:pPr>
      <w:r>
        <w:t xml:space="preserve">Preprocessing: features were split 75/25 into train/test sets (stratified by outcome) and standardized with StandardScaler.</w:t>
      </w:r>
    </w:p>
    <w:p>
      <w:pPr>
        <w:pStyle w:val="ListParagraph"/>
        <w:numPr>
          <w:ilvl w:val="0"/>
          <w:numId w:val="1"/>
        </w:numPr>
        <w:spacing w:after="80"/>
      </w:pPr>
      <w:r>
        <w:t xml:space="preserve">Modeling: two classifiers were trained and compared — Logistic Regression (a simple, interpretable linear baseline) and Random Forest (a stronger, non-linear ensemble model).</w:t>
      </w:r>
    </w:p>
    <w:p>
      <w:pPr>
        <w:pStyle w:val="ListParagraph"/>
        <w:numPr>
          <w:ilvl w:val="0"/>
          <w:numId w:val="1"/>
        </w:numPr>
        <w:spacing w:after="80"/>
      </w:pPr>
      <w:r>
        <w:t xml:space="preserve">Explainability: for Logistic Regression, absolute coefficient magnitude indicates feature influence; for Random Forest, built-in feature importances are used. Both are surfaced to the user in plain language alongside a bar chart.</w:t>
      </w:r>
    </w:p>
    <w:p>
      <w:pPr>
        <w:pStyle w:val="ListParagraph"/>
        <w:numPr>
          <w:ilvl w:val="0"/>
          <w:numId w:val="1"/>
        </w:numPr>
        <w:spacing w:after="80"/>
      </w:pPr>
      <w:r>
        <w:t xml:space="preserve">Interface: a Streamlit web app lets a user enter a hypothetical student's details via sliders, choose which model to use, and immediately see the prediction, confidence, explanation, and a live comparison of both models' evaluation metrics.</w:t>
      </w:r>
    </w:p>
    <w:p>
      <w:pPr>
        <w:pStyle w:val="Heading1"/>
        <w:spacing w:after="140" w:before="280"/>
      </w:pPr>
      <w:r>
        <w:t xml:space="preserve">3. AI Used</w:t>
      </w:r>
    </w:p>
    <w:p>
      <w:pPr>
        <w:spacing w:after="160"/>
      </w:pPr>
      <w:r>
        <w:t xml:space="preserve">Both models are standard scikit-learn classifiers (LogisticRegression, RandomForestClassifier), trained locally on-device. No external AI APIs, no internet calls, and no user data leaves the machine — so there are no cost, privacy, or rate-limit concerns to disclose.</w:t>
      </w:r>
    </w:p>
    <w:p>
      <w:pPr>
        <w:pStyle w:val="Heading1"/>
        <w:spacing w:after="140" w:before="280"/>
      </w:pPr>
      <w:r>
        <w:t xml:space="preserve">4. Results</w:t>
      </w:r>
    </w:p>
    <w:p>
      <w:pPr>
        <w:spacing w:after="160"/>
      </w:pPr>
      <w:r>
        <w:t xml:space="preserve">On the held-out 25% test split (100 students), the two models performed as follows: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gridCol w:w="2000"/>
      </w:tblGrid>
      <w:tr>
        <w:tc>
          <w:tcPr>
            <w:tcW w:type="dxa" w:w="3000"/>
            <w:shd w:fill="2F5496" w:val="clear"/>
          </w:tcPr>
          <w:p>
            <w:r>
              <w:rPr>
                <w:b/>
                <w:bCs/>
                <w:color w:val="FFFFFF"/>
              </w:rPr>
              <w:t xml:space="preserve">Model</w:t>
            </w:r>
          </w:p>
        </w:tc>
        <w:tc>
          <w:tcPr>
            <w:tcW w:type="dxa" w:w="2000"/>
            <w:shd w:fill="2F5496" w:val="clear"/>
          </w:tcPr>
          <w:p>
            <w:r>
              <w:rPr>
                <w:b/>
                <w:bCs/>
                <w:color w:val="FFFFFF"/>
              </w:rPr>
              <w:t xml:space="preserve">Accuracy</w:t>
            </w:r>
          </w:p>
        </w:tc>
        <w:tc>
          <w:tcPr>
            <w:tcW w:type="dxa" w:w="2000"/>
            <w:shd w:fill="2F5496" w:val="clear"/>
          </w:tcPr>
          <w:p>
            <w:r>
              <w:rPr>
                <w:b/>
                <w:bCs/>
                <w:color w:val="FFFFFF"/>
              </w:rPr>
              <w:t xml:space="preserve">Precision</w:t>
            </w:r>
          </w:p>
        </w:tc>
        <w:tc>
          <w:tcPr>
            <w:tcW w:type="dxa" w:w="2000"/>
            <w:shd w:fill="2F5496" w:val="clear"/>
          </w:tcPr>
          <w:p>
            <w:r>
              <w:rPr>
                <w:b/>
                <w:bCs/>
                <w:color w:val="FFFFFF"/>
              </w:rPr>
              <w:t xml:space="preserve">Recall</w:t>
            </w:r>
          </w:p>
        </w:tc>
        <w:tc>
          <w:tcPr>
            <w:tcW w:type="dxa" w:w="2000"/>
            <w:shd w:fill="2F5496" w:val="clear"/>
          </w:tcPr>
          <w:p>
            <w:r>
              <w:rPr>
                <w:b/>
                <w:bCs/>
                <w:color w:val="FFFFFF"/>
              </w:rPr>
              <w:t xml:space="preserve">F1 Score</w:t>
            </w:r>
          </w:p>
        </w:tc>
      </w:tr>
      <w:tr>
        <w:tc>
          <w:tcPr>
            <w:tcW w:type="dxa" w:w="3000"/>
          </w:tcPr>
          <w:p>
            <w:r>
              <w:rPr>
                <w:b w:val="false"/>
                <w:bCs w:val="false"/>
                <w:color w:val="000000"/>
              </w:rPr>
              <w:t xml:space="preserve">Logistic Regression</w:t>
            </w:r>
          </w:p>
        </w:tc>
        <w:tc>
          <w:tcPr>
            <w:tcW w:type="dxa" w:w="2000"/>
          </w:tcPr>
          <w:p>
            <w:r>
              <w:rPr>
                <w:b w:val="false"/>
                <w:bCs w:val="false"/>
                <w:color w:val="000000"/>
              </w:rPr>
              <w:t xml:space="preserve">88.0%</w:t>
            </w:r>
          </w:p>
        </w:tc>
        <w:tc>
          <w:tcPr>
            <w:tcW w:type="dxa" w:w="2000"/>
          </w:tcPr>
          <w:p>
            <w:r>
              <w:rPr>
                <w:b w:val="false"/>
                <w:bCs w:val="false"/>
                <w:color w:val="000000"/>
              </w:rPr>
              <w:t xml:space="preserve">89.4%</w:t>
            </w:r>
          </w:p>
        </w:tc>
        <w:tc>
          <w:tcPr>
            <w:tcW w:type="dxa" w:w="2000"/>
          </w:tcPr>
          <w:p>
            <w:r>
              <w:rPr>
                <w:b w:val="false"/>
                <w:bCs w:val="false"/>
                <w:color w:val="000000"/>
              </w:rPr>
              <w:t xml:space="preserve">96.2%</w:t>
            </w:r>
          </w:p>
        </w:tc>
        <w:tc>
          <w:tcPr>
            <w:tcW w:type="dxa" w:w="2000"/>
          </w:tcPr>
          <w:p>
            <w:r>
              <w:rPr>
                <w:b w:val="false"/>
                <w:bCs w:val="false"/>
                <w:color w:val="000000"/>
              </w:rPr>
              <w:t xml:space="preserve">92.7%</w:t>
            </w:r>
          </w:p>
        </w:tc>
      </w:tr>
      <w:tr>
        <w:tc>
          <w:tcPr>
            <w:tcW w:type="dxa" w:w="3000"/>
          </w:tcPr>
          <w:p>
            <w:r>
              <w:rPr>
                <w:b w:val="false"/>
                <w:bCs w:val="false"/>
                <w:color w:val="000000"/>
              </w:rPr>
              <w:t xml:space="preserve">Random Forest</w:t>
            </w:r>
          </w:p>
        </w:tc>
        <w:tc>
          <w:tcPr>
            <w:tcW w:type="dxa" w:w="2000"/>
          </w:tcPr>
          <w:p>
            <w:r>
              <w:rPr>
                <w:b w:val="false"/>
                <w:bCs w:val="false"/>
                <w:color w:val="000000"/>
              </w:rPr>
              <w:t xml:space="preserve">80.0%</w:t>
            </w:r>
          </w:p>
        </w:tc>
        <w:tc>
          <w:tcPr>
            <w:tcW w:type="dxa" w:w="2000"/>
          </w:tcPr>
          <w:p>
            <w:r>
              <w:rPr>
                <w:b w:val="false"/>
                <w:bCs w:val="false"/>
                <w:color w:val="000000"/>
              </w:rPr>
              <w:t xml:space="preserve">84.7%</w:t>
            </w:r>
          </w:p>
        </w:tc>
        <w:tc>
          <w:tcPr>
            <w:tcW w:type="dxa" w:w="2000"/>
          </w:tcPr>
          <w:p>
            <w:r>
              <w:rPr>
                <w:b w:val="false"/>
                <w:bCs w:val="false"/>
                <w:color w:val="000000"/>
              </w:rPr>
              <w:t xml:space="preserve">91.1%</w:t>
            </w:r>
          </w:p>
        </w:tc>
        <w:tc>
          <w:tcPr>
            <w:tcW w:type="dxa" w:w="2000"/>
          </w:tcPr>
          <w:p>
            <w:r>
              <w:rPr>
                <w:b w:val="false"/>
                <w:bCs w:val="false"/>
                <w:color w:val="000000"/>
              </w:rPr>
              <w:t xml:space="preserve">87.8%</w:t>
            </w:r>
          </w:p>
        </w:tc>
      </w:tr>
    </w:tbl>
    <w:p>
      <w:pPr>
        <w:spacing w:after="160" w:before="200"/>
      </w:pPr>
    </w:p>
    <w:p>
      <w:pPr>
        <w:spacing w:after="160"/>
      </w:pPr>
      <w:r>
        <w:t xml:space="preserve">Logistic Regression slightly outperformed Random Forest on this dataset, most likely because the underlying data-generating formula is itself close to linear. This is a useful finding in its own right: it shows the simpler, more interpretable model does not have to be sacrificed for accuracy here. Both models consistently identified daily study hours, previous exam score, and attendance percentage as the top three predictive factors, which matches domain intuition and adds confidence that the model is learning genuine signal rather than noise.</w:t>
      </w:r>
    </w:p>
    <w:p>
      <w:pPr>
        <w:pStyle w:val="Heading1"/>
        <w:spacing w:after="140" w:before="280"/>
      </w:pPr>
      <w:r>
        <w:t xml:space="preserve">5. Limitations &amp; Future Improvements</w:t>
      </w:r>
    </w:p>
    <w:p>
      <w:pPr>
        <w:pStyle w:val="ListParagraph"/>
        <w:numPr>
          <w:ilvl w:val="0"/>
          <w:numId w:val="1"/>
        </w:numPr>
        <w:spacing w:after="80"/>
      </w:pPr>
      <w:r>
        <w:t xml:space="preserve">Dataset is synthetic, not collected from real students — real-world validation would require an actual institutional dataset.</w:t>
      </w:r>
    </w:p>
    <w:p>
      <w:pPr>
        <w:pStyle w:val="ListParagraph"/>
        <w:numPr>
          <w:ilvl w:val="0"/>
          <w:numId w:val="1"/>
        </w:numPr>
        <w:spacing w:after="80"/>
      </w:pPr>
      <w:r>
        <w:t xml:space="preserve">Only binary pass/fail is predicted; a future version could predict a graded score band (A/B/C/F) instead.</w:t>
      </w:r>
    </w:p>
    <w:p>
      <w:pPr>
        <w:pStyle w:val="ListParagraph"/>
        <w:numPr>
          <w:ilvl w:val="0"/>
          <w:numId w:val="1"/>
        </w:numPr>
        <w:spacing w:after="80"/>
      </w:pPr>
      <w:r>
        <w:t xml:space="preserve">Additional features (e.g. subject difficulty, socioeconomic factors, distance to school) could improve real-world accuracy.</w:t>
      </w:r>
    </w:p>
    <w:p>
      <w:pPr>
        <w:pStyle w:val="ListParagraph"/>
        <w:numPr>
          <w:ilvl w:val="0"/>
          <w:numId w:val="1"/>
        </w:numPr>
        <w:spacing w:after="80"/>
      </w:pPr>
      <w:r>
        <w:t xml:space="preserve">Cross-validation across multiple splits would give a more robust estimate of model performance than a single train/test split.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2026-07-14T03:33:10.662Z</dcterms:created>
  <dcterms:modified xsi:type="dcterms:W3CDTF">2026-07-14T03:33:10.673Z</dcterms:modified>
</cp:coreProperties>
</file>

<file path=docProps/custom.xml><?xml version="1.0" encoding="utf-8"?>
<Properties xmlns="http://schemas.openxmlformats.org/officeDocument/2006/custom-properties" xmlns:vt="http://schemas.openxmlformats.org/officeDocument/2006/docPropsVTypes"/>
</file>