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bidi w:val="1"/>
      </w:pPr>
      <w:r>
        <w:t>سند طراحی پایگاه داده و معماری کلان سامانه</w:t>
      </w:r>
    </w:p>
    <w:p>
      <w:pPr>
        <w:jc w:val="center"/>
        <w:bidi w:val="1"/>
      </w:pPr>
      <w:r>
        <w:rPr>
          <w:color w:val="1D4ED8"/>
          <w:sz w:val="36"/>
        </w:rPr>
        <w:t>سامانه مدیریت داوطلبان بحران (پناه)</w:t>
      </w:r>
    </w:p>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مقدار</w:t>
            </w:r>
          </w:p>
        </w:tc>
        <w:tc>
          <w:tcPr>
            <w:tcW w:type="dxa" w:w="4986"/>
            <w:shd w:fill="0B5E8E"/>
            <w:vAlign w:val="center"/>
          </w:tcPr>
          <w:p>
            <w:pPr>
              <w:jc w:val="center"/>
              <w:bidi w:val="1"/>
            </w:pPr>
            <w:r>
              <w:rPr>
                <w:b/>
                <w:color w:val="FFFFFF"/>
              </w:rPr>
              <w:t>مشخصه</w:t>
            </w:r>
          </w:p>
        </w:tc>
      </w:tr>
      <w:tr>
        <w:tc>
          <w:tcPr>
            <w:tcW w:type="dxa" w:w="4986"/>
            <w:vAlign w:val="center"/>
          </w:tcPr>
          <w:p>
            <w:pPr>
              <w:jc w:val="right"/>
              <w:bidi w:val="1"/>
            </w:pPr>
            <w:r>
              <w:t>P2</w:t>
            </w:r>
          </w:p>
        </w:tc>
        <w:tc>
          <w:tcPr>
            <w:tcW w:type="dxa" w:w="4986"/>
            <w:vAlign w:val="center"/>
          </w:tcPr>
          <w:p>
            <w:pPr>
              <w:jc w:val="right"/>
              <w:bidi w:val="1"/>
            </w:pPr>
            <w:r>
              <w:t>شناسه سند</w:t>
            </w:r>
          </w:p>
        </w:tc>
      </w:tr>
      <w:tr>
        <w:tc>
          <w:tcPr>
            <w:tcW w:type="dxa" w:w="4986"/>
            <w:vAlign w:val="center"/>
          </w:tcPr>
          <w:p>
            <w:pPr>
              <w:jc w:val="right"/>
              <w:bidi w:val="1"/>
            </w:pPr>
            <w:r>
              <w:t>1.0</w:t>
            </w:r>
          </w:p>
        </w:tc>
        <w:tc>
          <w:tcPr>
            <w:tcW w:type="dxa" w:w="4986"/>
            <w:vAlign w:val="center"/>
          </w:tcPr>
          <w:p>
            <w:pPr>
              <w:jc w:val="right"/>
              <w:bidi w:val="1"/>
            </w:pPr>
            <w:r>
              <w:t>نسخه</w:t>
            </w:r>
          </w:p>
        </w:tc>
      </w:tr>
      <w:tr>
        <w:tc>
          <w:tcPr>
            <w:tcW w:type="dxa" w:w="4986"/>
            <w:vAlign w:val="center"/>
          </w:tcPr>
          <w:p>
            <w:pPr>
              <w:jc w:val="right"/>
              <w:bidi w:val="1"/>
            </w:pPr>
            <w:r>
              <w:t>1405/04/26</w:t>
            </w:r>
          </w:p>
        </w:tc>
        <w:tc>
          <w:tcPr>
            <w:tcW w:type="dxa" w:w="4986"/>
            <w:vAlign w:val="center"/>
          </w:tcPr>
          <w:p>
            <w:pPr>
              <w:jc w:val="right"/>
              <w:bidi w:val="1"/>
            </w:pPr>
            <w:r>
              <w:t>تاریخ</w:t>
            </w:r>
          </w:p>
        </w:tc>
      </w:tr>
      <w:tr>
        <w:tc>
          <w:tcPr>
            <w:tcW w:type="dxa" w:w="4986"/>
            <w:vAlign w:val="center"/>
          </w:tcPr>
          <w:p>
            <w:pPr>
              <w:jc w:val="right"/>
              <w:bidi w:val="1"/>
            </w:pPr>
            <w:r>
              <w:t>طراحی داده، معماری و مشخصات فنی اولیه</w:t>
            </w:r>
          </w:p>
        </w:tc>
        <w:tc>
          <w:tcPr>
            <w:tcW w:type="dxa" w:w="4986"/>
            <w:vAlign w:val="center"/>
          </w:tcPr>
          <w:p>
            <w:pPr>
              <w:jc w:val="right"/>
              <w:bidi w:val="1"/>
            </w:pPr>
            <w:r>
              <w:t>دامنه</w:t>
            </w:r>
          </w:p>
        </w:tc>
      </w:tr>
      <w:tr>
        <w:tc>
          <w:tcPr>
            <w:tcW w:type="dxa" w:w="4986"/>
            <w:vAlign w:val="center"/>
          </w:tcPr>
          <w:p>
            <w:pPr>
              <w:jc w:val="right"/>
              <w:bidi w:val="1"/>
            </w:pPr>
            <w:r>
              <w:t>تیم توسعه سامانه مدیریت داوطلبان بحران</w:t>
            </w:r>
          </w:p>
        </w:tc>
        <w:tc>
          <w:tcPr>
            <w:tcW w:type="dxa" w:w="4986"/>
            <w:vAlign w:val="center"/>
          </w:tcPr>
          <w:p>
            <w:pPr>
              <w:jc w:val="right"/>
              <w:bidi w:val="1"/>
            </w:pPr>
            <w:r>
              <w:t>تهیه‌کننده</w:t>
            </w:r>
          </w:p>
        </w:tc>
      </w:tr>
      <w:tr>
        <w:tc>
          <w:tcPr>
            <w:tcW w:type="dxa" w:w="4986"/>
            <w:vAlign w:val="center"/>
          </w:tcPr>
          <w:p>
            <w:pPr>
              <w:jc w:val="right"/>
              <w:bidi w:val="1"/>
            </w:pPr>
            <w:r>
              <w:t>کارفرما / ذی‌نفعان سامانه</w:t>
            </w:r>
          </w:p>
        </w:tc>
        <w:tc>
          <w:tcPr>
            <w:tcW w:type="dxa" w:w="4986"/>
            <w:vAlign w:val="center"/>
          </w:tcPr>
          <w:p>
            <w:pPr>
              <w:jc w:val="right"/>
              <w:bidi w:val="1"/>
            </w:pPr>
            <w:r>
              <w:t>مخاطب</w:t>
            </w:r>
          </w:p>
        </w:tc>
      </w:tr>
    </w:tbl>
    <w:p/>
    <w:p>
      <w:pPr>
        <w:spacing w:after="140"/>
        <w:jc w:val="right"/>
        <w:bidi w:val="1"/>
      </w:pPr>
      <w:r>
        <w:rPr>
          <w:b w:val="0"/>
        </w:rPr>
        <w:t>این سند، مبنای مشترک کارفرما، تحلیل‌گر، معمار، توسعه‌دهنده، مدیر پایگاه داده و تیم آزمون برای ورود کنترل‌شده به فاز توسعه است.</w:t>
      </w:r>
    </w:p>
    <w:p>
      <w:r>
        <w:br w:type="page"/>
      </w:r>
    </w:p>
    <w:p>
      <w:pPr>
        <w:pStyle w:val="Heading1"/>
        <w:jc w:val="right"/>
        <w:bidi w:val="1"/>
      </w:pPr>
      <w:r>
        <w:t>فهرست مطالب</w:t>
      </w:r>
    </w:p>
    <w:p>
      <w:pPr>
        <w:jc w:val="right"/>
        <w:bidi w:val="1"/>
      </w:pPr>
      <w:r>
        <w:fldChar w:fldCharType="begin"/>
        <w:instrText xml:space="preserve"> TOC \o "1-3" \h \z \u </w:instrText>
        <w:fldChar w:fldCharType="separate">
          <w:t>برای نمایش فهرست، در Word روی این بخش کلیک راست و Update Field را انتخاب کنید.</w:t>
        </w:fldChar>
        <w:fldChar w:fldCharType="end"/>
      </w:r>
    </w:p>
    <w:p>
      <w:r>
        <w:br w:type="page"/>
      </w:r>
    </w:p>
    <w:p>
      <w:pPr>
        <w:pStyle w:val="Heading1"/>
        <w:jc w:val="right"/>
        <w:bidi w:val="1"/>
      </w:pPr>
      <w:r>
        <w:t>1. کنترل سند و راهنمای مطالعه</w:t>
      </w:r>
    </w:p>
    <w:tbl>
      <w:tblPr>
        <w:tblStyle w:val="LightShading-Accent1"/>
        <w:tblW w:type="auto" w:w="0"/>
        <w:jc w:val="center"/>
        <w:tblLook w:firstColumn="1" w:firstRow="1" w:lastColumn="0" w:lastRow="0" w:noHBand="0" w:noVBand="1" w:val="04A0"/>
      </w:tblPr>
      <w:tblGrid>
        <w:gridCol w:w="2493"/>
        <w:gridCol w:w="2493"/>
        <w:gridCol w:w="2493"/>
        <w:gridCol w:w="2493"/>
      </w:tblGrid>
      <w:tr>
        <w:tc>
          <w:tcPr>
            <w:tcW w:type="dxa" w:w="2493"/>
            <w:shd w:fill="0B5E8E"/>
            <w:vAlign w:val="center"/>
          </w:tcPr>
          <w:p>
            <w:pPr>
              <w:jc w:val="center"/>
              <w:bidi w:val="1"/>
            </w:pPr>
            <w:r>
              <w:rPr>
                <w:b/>
                <w:color w:val="FFFFFF"/>
              </w:rPr>
              <w:t>شرح تغییر</w:t>
            </w:r>
          </w:p>
        </w:tc>
        <w:tc>
          <w:tcPr>
            <w:tcW w:type="dxa" w:w="2493"/>
            <w:shd w:fill="0B5E8E"/>
            <w:vAlign w:val="center"/>
          </w:tcPr>
          <w:p>
            <w:pPr>
              <w:jc w:val="center"/>
              <w:bidi w:val="1"/>
            </w:pPr>
            <w:r>
              <w:rPr>
                <w:b/>
                <w:color w:val="FFFFFF"/>
              </w:rPr>
              <w:t>تهیه‌کننده</w:t>
            </w:r>
          </w:p>
        </w:tc>
        <w:tc>
          <w:tcPr>
            <w:tcW w:type="dxa" w:w="2493"/>
            <w:shd w:fill="0B5E8E"/>
            <w:vAlign w:val="center"/>
          </w:tcPr>
          <w:p>
            <w:pPr>
              <w:jc w:val="center"/>
              <w:bidi w:val="1"/>
            </w:pPr>
            <w:r>
              <w:rPr>
                <w:b/>
                <w:color w:val="FFFFFF"/>
              </w:rPr>
              <w:t>تاریخ</w:t>
            </w:r>
          </w:p>
        </w:tc>
        <w:tc>
          <w:tcPr>
            <w:tcW w:type="dxa" w:w="2493"/>
            <w:shd w:fill="0B5E8E"/>
            <w:vAlign w:val="center"/>
          </w:tcPr>
          <w:p>
            <w:pPr>
              <w:jc w:val="center"/>
              <w:bidi w:val="1"/>
            </w:pPr>
            <w:r>
              <w:rPr>
                <w:b/>
                <w:color w:val="FFFFFF"/>
              </w:rPr>
              <w:t>نسخه</w:t>
            </w:r>
          </w:p>
        </w:tc>
      </w:tr>
      <w:tr>
        <w:tc>
          <w:tcPr>
            <w:tcW w:type="dxa" w:w="2493"/>
            <w:vAlign w:val="center"/>
          </w:tcPr>
          <w:p>
            <w:pPr>
              <w:jc w:val="right"/>
              <w:bidi w:val="1"/>
            </w:pPr>
            <w:r>
              <w:t>ایجاد نخستین نسخه طراحی فاز دوم</w:t>
            </w:r>
          </w:p>
        </w:tc>
        <w:tc>
          <w:tcPr>
            <w:tcW w:type="dxa" w:w="2493"/>
            <w:vAlign w:val="center"/>
          </w:tcPr>
          <w:p>
            <w:pPr>
              <w:jc w:val="right"/>
              <w:bidi w:val="1"/>
            </w:pPr>
            <w:r>
              <w:t>تیم فنی</w:t>
            </w:r>
          </w:p>
        </w:tc>
        <w:tc>
          <w:tcPr>
            <w:tcW w:type="dxa" w:w="2493"/>
            <w:vAlign w:val="center"/>
          </w:tcPr>
          <w:p>
            <w:pPr>
              <w:jc w:val="right"/>
              <w:bidi w:val="1"/>
            </w:pPr>
            <w:r>
              <w:t>1405/04/26</w:t>
            </w:r>
          </w:p>
        </w:tc>
        <w:tc>
          <w:tcPr>
            <w:tcW w:type="dxa" w:w="2493"/>
            <w:vAlign w:val="center"/>
          </w:tcPr>
          <w:p>
            <w:pPr>
              <w:jc w:val="right"/>
              <w:bidi w:val="1"/>
            </w:pPr>
            <w:r>
              <w:t>1.0</w:t>
            </w:r>
          </w:p>
        </w:tc>
      </w:tr>
    </w:tbl>
    <w:p/>
    <w:p>
      <w:pPr>
        <w:pStyle w:val="Heading2"/>
        <w:jc w:val="right"/>
        <w:bidi w:val="1"/>
      </w:pPr>
      <w:r>
        <w:t>هدف و دامنه</w:t>
      </w:r>
    </w:p>
    <w:p>
      <w:pPr>
        <w:spacing w:after="140"/>
        <w:jc w:val="right"/>
        <w:bidi w:val="1"/>
      </w:pPr>
      <w:r>
        <w:rPr>
          <w:b w:val="0"/>
        </w:rPr>
        <w:t>هدف، تبدیل نیازهای عملیاتی سامانه مدیریت داوطلبان بحران به مدل مفهومی، منطقی و فیزیکی داده و نیز تعیین معماری مرجع سامانه است. این طراحی چرخه ثبت‌نام، پروفایل داوطلب، مهارت، رخداد، مأموریت، درخواست مشارکت، تخصیص، گزارش، اعلان، تیکت و ثبت ممیزی را پوشش می‌دهد.</w:t>
      </w:r>
    </w:p>
    <w:p>
      <w:pPr>
        <w:pStyle w:val="Heading2"/>
        <w:jc w:val="right"/>
        <w:bidi w:val="1"/>
      </w:pPr>
      <w:r>
        <w:t>ساختار سند</w:t>
      </w:r>
    </w:p>
    <w:p>
      <w:pPr>
        <w:pStyle w:val="ListBullet"/>
        <w:jc w:val="right"/>
        <w:bidi w:val="1"/>
      </w:pPr>
      <w:r>
        <w:t>بخش‌های ۲ تا ۴ مدل داده و قواعد یکپارچگی را شرح می‌دهند.</w:t>
      </w:r>
    </w:p>
    <w:p>
      <w:pPr>
        <w:pStyle w:val="ListBullet"/>
        <w:jc w:val="right"/>
        <w:bidi w:val="1"/>
      </w:pPr>
      <w:r>
        <w:t>بخش‌های ۵ تا ۷ معماری نرم‌افزار، استقرار و امنیت را مشخص می‌کنند.</w:t>
      </w:r>
    </w:p>
    <w:p>
      <w:pPr>
        <w:pStyle w:val="ListBullet"/>
        <w:jc w:val="right"/>
        <w:bidi w:val="1"/>
      </w:pPr>
      <w:r>
        <w:t>بخش‌های ۸ و ۹ نقشه ورود به توسعه، آزمون پذیرش و اقلام تحویلی را ارائه می‌دهند.</w:t>
      </w:r>
    </w:p>
    <w:p>
      <w:pPr>
        <w:spacing w:after="140"/>
        <w:jc w:val="right"/>
        <w:bidi w:val="1"/>
      </w:pPr>
      <w:r>
        <w:rPr>
          <w:b w:val="0"/>
        </w:rPr>
        <w:t>فهرست مطالب در Microsoft Word با انتخاب Update Field به‌روزرسانی می‌شود.</w:t>
      </w:r>
    </w:p>
    <w:p>
      <w:r>
        <w:br w:type="page"/>
      </w:r>
    </w:p>
    <w:p>
      <w:pPr>
        <w:pStyle w:val="Heading1"/>
        <w:jc w:val="right"/>
        <w:bidi w:val="1"/>
      </w:pPr>
      <w:r>
        <w:t>2. مفروضات، اصول و روش طراحی</w:t>
      </w:r>
    </w:p>
    <w:p>
      <w:pPr>
        <w:pStyle w:val="Heading2"/>
        <w:jc w:val="right"/>
        <w:bidi w:val="1"/>
      </w:pPr>
      <w:r>
        <w:t>مفروضات کلیدی</w:t>
      </w:r>
    </w:p>
    <w:p>
      <w:pPr>
        <w:pStyle w:val="ListBullet"/>
        <w:jc w:val="right"/>
        <w:bidi w:val="1"/>
      </w:pPr>
      <w:r>
        <w:t>پایگاه داده عملیاتی PostgreSQL 17 است و شناسه همه موجودیت‌های کسب‌وکاری UUID است.</w:t>
      </w:r>
    </w:p>
    <w:p>
      <w:pPr>
        <w:pStyle w:val="ListBullet"/>
        <w:jc w:val="right"/>
        <w:bidi w:val="1"/>
      </w:pPr>
      <w:r>
        <w:t>سامانه از Django REST Framework، React و صف پردازش Celery استفاده می‌کند.</w:t>
      </w:r>
    </w:p>
    <w:p>
      <w:pPr>
        <w:pStyle w:val="ListBullet"/>
        <w:jc w:val="right"/>
        <w:bidi w:val="1"/>
      </w:pPr>
      <w:r>
        <w:t>هر کاربر ثبت‌نام‌شده قابلیت ایجاد پروفایل داوطلب را دارد؛ کنترل دسترسی عملیات مدیریتی بر پایه نقش و مجوز است.</w:t>
      </w:r>
    </w:p>
    <w:p>
      <w:pPr>
        <w:pStyle w:val="ListBullet"/>
        <w:jc w:val="right"/>
        <w:bidi w:val="1"/>
      </w:pPr>
      <w:r>
        <w:t>در حذف نرم (Soft Delete)، داده برای ممیزی حفظ و از فهرست‌های عادی پنهان می‌شود.</w:t>
      </w:r>
    </w:p>
    <w:p>
      <w:pPr>
        <w:pStyle w:val="Heading2"/>
        <w:jc w:val="right"/>
        <w:bidi w:val="1"/>
      </w:pPr>
      <w:r>
        <w:t>اصول معماری داده</w:t>
      </w:r>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کاربرد</w:t>
            </w:r>
          </w:p>
        </w:tc>
        <w:tc>
          <w:tcPr>
            <w:tcW w:type="dxa" w:w="4986"/>
            <w:shd w:fill="0B5E8E"/>
            <w:vAlign w:val="center"/>
          </w:tcPr>
          <w:p>
            <w:pPr>
              <w:jc w:val="center"/>
              <w:bidi w:val="1"/>
            </w:pPr>
            <w:r>
              <w:rPr>
                <w:b/>
                <w:color w:val="FFFFFF"/>
              </w:rPr>
              <w:t>اصل</w:t>
            </w:r>
          </w:p>
        </w:tc>
      </w:tr>
      <w:tr>
        <w:tc>
          <w:tcPr>
            <w:tcW w:type="dxa" w:w="4986"/>
            <w:vAlign w:val="center"/>
          </w:tcPr>
          <w:p>
            <w:pPr>
              <w:jc w:val="right"/>
              <w:bidi w:val="1"/>
            </w:pPr>
            <w:r>
              <w:t>ردیابی و همگام‌سازی</w:t>
            </w:r>
          </w:p>
        </w:tc>
        <w:tc>
          <w:tcPr>
            <w:tcW w:type="dxa" w:w="4986"/>
            <w:vAlign w:val="center"/>
          </w:tcPr>
          <w:p>
            <w:pPr>
              <w:jc w:val="right"/>
              <w:bidi w:val="1"/>
            </w:pPr>
            <w:r>
              <w:t>کلید اصلی UUID و زمان‌های ایجاد/به‌روزرسانی</w:t>
            </w:r>
          </w:p>
        </w:tc>
      </w:tr>
      <w:tr>
        <w:tc>
          <w:tcPr>
            <w:tcW w:type="dxa" w:w="4986"/>
            <w:vAlign w:val="center"/>
          </w:tcPr>
          <w:p>
            <w:pPr>
              <w:jc w:val="right"/>
              <w:bidi w:val="1"/>
            </w:pPr>
            <w:r>
              <w:t>یکپارچگی</w:t>
            </w:r>
          </w:p>
        </w:tc>
        <w:tc>
          <w:tcPr>
            <w:tcW w:type="dxa" w:w="4986"/>
            <w:vAlign w:val="center"/>
          </w:tcPr>
          <w:p>
            <w:pPr>
              <w:jc w:val="right"/>
              <w:bidi w:val="1"/>
            </w:pPr>
            <w:r>
              <w:t>کلید خارجی، قیود یکتا و محدودیت دامنه وضعیت‌ها</w:t>
            </w:r>
          </w:p>
        </w:tc>
      </w:tr>
      <w:tr>
        <w:tc>
          <w:tcPr>
            <w:tcW w:type="dxa" w:w="4986"/>
            <w:vAlign w:val="center"/>
          </w:tcPr>
          <w:p>
            <w:pPr>
              <w:jc w:val="right"/>
              <w:bidi w:val="1"/>
            </w:pPr>
            <w:r>
              <w:t>کارایی</w:t>
            </w:r>
          </w:p>
        </w:tc>
        <w:tc>
          <w:tcPr>
            <w:tcW w:type="dxa" w:w="4986"/>
            <w:vAlign w:val="center"/>
          </w:tcPr>
          <w:p>
            <w:pPr>
              <w:jc w:val="right"/>
              <w:bidi w:val="1"/>
            </w:pPr>
            <w:r>
              <w:t>ایندکس‌های مالکیت، وضعیت، زمان و ایندکس جزئی برای صف‌های فعال</w:t>
            </w:r>
          </w:p>
        </w:tc>
      </w:tr>
      <w:tr>
        <w:tc>
          <w:tcPr>
            <w:tcW w:type="dxa" w:w="4986"/>
            <w:vAlign w:val="center"/>
          </w:tcPr>
          <w:p>
            <w:pPr>
              <w:jc w:val="right"/>
              <w:bidi w:val="1"/>
            </w:pPr>
            <w:r>
              <w:t>انعطاف کنترل‌شده</w:t>
            </w:r>
          </w:p>
        </w:tc>
        <w:tc>
          <w:tcPr>
            <w:tcW w:type="dxa" w:w="4986"/>
            <w:vAlign w:val="center"/>
          </w:tcPr>
          <w:p>
            <w:pPr>
              <w:jc w:val="right"/>
              <w:bidi w:val="1"/>
            </w:pPr>
            <w:r>
              <w:t>JSONB صرفاً برای فراداده، نیاز و تقویم آمادگی</w:t>
            </w:r>
          </w:p>
        </w:tc>
      </w:tr>
      <w:tr>
        <w:tc>
          <w:tcPr>
            <w:tcW w:type="dxa" w:w="4986"/>
            <w:vAlign w:val="center"/>
          </w:tcPr>
          <w:p>
            <w:pPr>
              <w:jc w:val="right"/>
              <w:bidi w:val="1"/>
            </w:pPr>
            <w:r>
              <w:t>حریم خصوصی</w:t>
            </w:r>
          </w:p>
        </w:tc>
        <w:tc>
          <w:tcPr>
            <w:tcW w:type="dxa" w:w="4986"/>
            <w:vAlign w:val="center"/>
          </w:tcPr>
          <w:p>
            <w:pPr>
              <w:jc w:val="right"/>
              <w:bidi w:val="1"/>
            </w:pPr>
            <w:r>
              <w:t>حداقل‌سازی PII، محدودسازی نقش‌ها، ثبت ممیزی و سیاست نگهداری</w:t>
            </w:r>
          </w:p>
        </w:tc>
      </w:tr>
    </w:tbl>
    <w:p/>
    <w:p>
      <w:pPr>
        <w:pStyle w:val="Heading1"/>
        <w:jc w:val="right"/>
        <w:bidi w:val="1"/>
      </w:pPr>
      <w:r>
        <w:t>3. مدل مفهومی و شناسایی موجودیت‌ها</w:t>
      </w:r>
    </w:p>
    <w:p>
      <w:pPr>
        <w:spacing w:after="140"/>
        <w:jc w:val="right"/>
        <w:bidi w:val="1"/>
      </w:pPr>
      <w:r>
        <w:rPr>
          <w:b w:val="0"/>
        </w:rPr>
        <w:t>مدل مفهومی سه جریان اصلی را متصل می‌کند: مدیریت هویت و صلاحیت، مدیریت عملیات بحران و مدیریت ارتباطات/حاکمیت. «کاربر» هویت پایه است؛ «داوطلب» نمای عملیاتی کاربر؛ «رخداد» ظرف بحران؛ و «مأموریت» واحد قابل تخصیص کار است.</w:t>
      </w:r>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تعریف کسب‌وکاری</w:t>
            </w:r>
          </w:p>
        </w:tc>
        <w:tc>
          <w:tcPr>
            <w:tcW w:type="dxa" w:w="4986"/>
            <w:shd w:fill="0B5E8E"/>
            <w:vAlign w:val="center"/>
          </w:tcPr>
          <w:p>
            <w:pPr>
              <w:jc w:val="center"/>
              <w:bidi w:val="1"/>
            </w:pPr>
            <w:r>
              <w:rPr>
                <w:b/>
                <w:color w:val="FFFFFF"/>
              </w:rPr>
              <w:t>موجودیت</w:t>
            </w:r>
          </w:p>
        </w:tc>
      </w:tr>
      <w:tr>
        <w:tc>
          <w:tcPr>
            <w:tcW w:type="dxa" w:w="4986"/>
            <w:vAlign w:val="center"/>
          </w:tcPr>
          <w:p>
            <w:pPr>
              <w:jc w:val="right"/>
              <w:bidi w:val="1"/>
            </w:pPr>
            <w:r>
              <w:t>هویت فرد یا عامل انسانی که وارد سامانه می‌شود.</w:t>
            </w:r>
          </w:p>
        </w:tc>
        <w:tc>
          <w:tcPr>
            <w:tcW w:type="dxa" w:w="4986"/>
            <w:vAlign w:val="center"/>
          </w:tcPr>
          <w:p>
            <w:pPr>
              <w:jc w:val="right"/>
              <w:bidi w:val="1"/>
            </w:pPr>
            <w:r>
              <w:t>User</w:t>
            </w:r>
          </w:p>
        </w:tc>
      </w:tr>
      <w:tr>
        <w:tc>
          <w:tcPr>
            <w:tcW w:type="dxa" w:w="4986"/>
            <w:vAlign w:val="center"/>
          </w:tcPr>
          <w:p>
            <w:pPr>
              <w:jc w:val="right"/>
              <w:bidi w:val="1"/>
            </w:pPr>
            <w:r>
              <w:t>نمایه مهارت، شهر، آمادگی و وضعیت مشارکت.</w:t>
            </w:r>
          </w:p>
        </w:tc>
        <w:tc>
          <w:tcPr>
            <w:tcW w:type="dxa" w:w="4986"/>
            <w:vAlign w:val="center"/>
          </w:tcPr>
          <w:p>
            <w:pPr>
              <w:jc w:val="right"/>
              <w:bidi w:val="1"/>
            </w:pPr>
            <w:r>
              <w:t>VolunteerProfile</w:t>
            </w:r>
          </w:p>
        </w:tc>
      </w:tr>
      <w:tr>
        <w:tc>
          <w:tcPr>
            <w:tcW w:type="dxa" w:w="4986"/>
            <w:vAlign w:val="center"/>
          </w:tcPr>
          <w:p>
            <w:pPr>
              <w:jc w:val="right"/>
              <w:bidi w:val="1"/>
            </w:pPr>
            <w:r>
              <w:t>کاتالوگ مهارت و سطح تسلط داوطلب.</w:t>
            </w:r>
          </w:p>
        </w:tc>
        <w:tc>
          <w:tcPr>
            <w:tcW w:type="dxa" w:w="4986"/>
            <w:vAlign w:val="center"/>
          </w:tcPr>
          <w:p>
            <w:pPr>
              <w:jc w:val="right"/>
              <w:bidi w:val="1"/>
            </w:pPr>
            <w:r>
              <w:t>Skill / VolunteerSkill</w:t>
            </w:r>
          </w:p>
        </w:tc>
      </w:tr>
      <w:tr>
        <w:tc>
          <w:tcPr>
            <w:tcW w:type="dxa" w:w="4986"/>
            <w:vAlign w:val="center"/>
          </w:tcPr>
          <w:p>
            <w:pPr>
              <w:jc w:val="right"/>
              <w:bidi w:val="1"/>
            </w:pPr>
            <w:r>
              <w:t>رخداد بحران دارای شدت، زمان، مکان و نیازها.</w:t>
            </w:r>
          </w:p>
        </w:tc>
        <w:tc>
          <w:tcPr>
            <w:tcW w:type="dxa" w:w="4986"/>
            <w:vAlign w:val="center"/>
          </w:tcPr>
          <w:p>
            <w:pPr>
              <w:jc w:val="right"/>
              <w:bidi w:val="1"/>
            </w:pPr>
            <w:r>
              <w:t>Disaster</w:t>
            </w:r>
          </w:p>
        </w:tc>
      </w:tr>
      <w:tr>
        <w:tc>
          <w:tcPr>
            <w:tcW w:type="dxa" w:w="4986"/>
            <w:vAlign w:val="center"/>
          </w:tcPr>
          <w:p>
            <w:pPr>
              <w:jc w:val="right"/>
              <w:bidi w:val="1"/>
            </w:pPr>
            <w:r>
              <w:t>کار عملیاتی با ظرفیت، زمان، اولویت و هماهنگ‌کننده مشخص.</w:t>
            </w:r>
          </w:p>
        </w:tc>
        <w:tc>
          <w:tcPr>
            <w:tcW w:type="dxa" w:w="4986"/>
            <w:vAlign w:val="center"/>
          </w:tcPr>
          <w:p>
            <w:pPr>
              <w:jc w:val="right"/>
              <w:bidi w:val="1"/>
            </w:pPr>
            <w:r>
              <w:t>Mission</w:t>
            </w:r>
          </w:p>
        </w:tc>
      </w:tr>
      <w:tr>
        <w:tc>
          <w:tcPr>
            <w:tcW w:type="dxa" w:w="4986"/>
            <w:vAlign w:val="center"/>
          </w:tcPr>
          <w:p>
            <w:pPr>
              <w:jc w:val="right"/>
              <w:bidi w:val="1"/>
            </w:pPr>
            <w:r>
              <w:t>درخواست داوطلب برای یک مأموریت؛ حداکثر یک بار برای هر زوج.</w:t>
            </w:r>
          </w:p>
        </w:tc>
        <w:tc>
          <w:tcPr>
            <w:tcW w:type="dxa" w:w="4986"/>
            <w:vAlign w:val="center"/>
          </w:tcPr>
          <w:p>
            <w:pPr>
              <w:jc w:val="right"/>
              <w:bidi w:val="1"/>
            </w:pPr>
            <w:r>
              <w:t>MissionApplication</w:t>
            </w:r>
          </w:p>
        </w:tc>
      </w:tr>
      <w:tr>
        <w:tc>
          <w:tcPr>
            <w:tcW w:type="dxa" w:w="4986"/>
            <w:vAlign w:val="center"/>
          </w:tcPr>
          <w:p>
            <w:pPr>
              <w:jc w:val="right"/>
              <w:bidi w:val="1"/>
            </w:pPr>
            <w:r>
              <w:t>تخصیص رسمی پس از تصمیم مسئول مأموریت.</w:t>
            </w:r>
          </w:p>
        </w:tc>
        <w:tc>
          <w:tcPr>
            <w:tcW w:type="dxa" w:w="4986"/>
            <w:vAlign w:val="center"/>
          </w:tcPr>
          <w:p>
            <w:pPr>
              <w:jc w:val="right"/>
              <w:bidi w:val="1"/>
            </w:pPr>
            <w:r>
              <w:t>Assignment</w:t>
            </w:r>
          </w:p>
        </w:tc>
      </w:tr>
      <w:tr>
        <w:tc>
          <w:tcPr>
            <w:tcW w:type="dxa" w:w="4986"/>
            <w:vAlign w:val="center"/>
          </w:tcPr>
          <w:p>
            <w:pPr>
              <w:jc w:val="right"/>
              <w:bidi w:val="1"/>
            </w:pPr>
            <w:r>
              <w:t>گزارش میدانی، پیام پشتیبانی، اعلان و رویداد ممیزی.</w:t>
            </w:r>
          </w:p>
        </w:tc>
        <w:tc>
          <w:tcPr>
            <w:tcW w:type="dxa" w:w="4986"/>
            <w:vAlign w:val="center"/>
          </w:tcPr>
          <w:p>
            <w:pPr>
              <w:jc w:val="right"/>
              <w:bidi w:val="1"/>
            </w:pPr>
            <w:r>
              <w:t>Report / Ticket / Notification / AuditLog</w:t>
            </w:r>
          </w:p>
        </w:tc>
      </w:tr>
    </w:tbl>
    <w:p/>
    <w:p>
      <w:pPr>
        <w:jc w:val="center"/>
      </w:pPr>
      <w:r>
        <w:drawing>
          <wp:inline xmlns:a="http://schemas.openxmlformats.org/drawingml/2006/main" xmlns:pic="http://schemas.openxmlformats.org/drawingml/2006/picture">
            <wp:extent cx="5940000" cy="3424235"/>
            <wp:docPr id="1" name="Picture 1"/>
            <wp:cNvGraphicFramePr>
              <a:graphicFrameLocks noChangeAspect="1"/>
            </wp:cNvGraphicFramePr>
            <a:graphic>
              <a:graphicData uri="http://schemas.openxmlformats.org/drawingml/2006/picture">
                <pic:pic>
                  <pic:nvPicPr>
                    <pic:cNvPr id="0" name="erd_overview.png"/>
                    <pic:cNvPicPr/>
                  </pic:nvPicPr>
                  <pic:blipFill>
                    <a:blip r:embed="rId11"/>
                    <a:stretch>
                      <a:fillRect/>
                    </a:stretch>
                  </pic:blipFill>
                  <pic:spPr>
                    <a:xfrm>
                      <a:off x="0" y="0"/>
                      <a:ext cx="5940000" cy="3424235"/>
                    </a:xfrm>
                    <a:prstGeom prst="rect"/>
                  </pic:spPr>
                </pic:pic>
              </a:graphicData>
            </a:graphic>
          </wp:inline>
        </w:drawing>
      </w:r>
    </w:p>
    <w:p>
      <w:pPr>
        <w:jc w:val="center"/>
        <w:bidi w:val="1"/>
      </w:pPr>
      <w:r>
        <w:rPr>
          <w:i/>
          <w:sz w:val="20"/>
        </w:rPr>
        <w:t>شکل — نمودار ERD منطقی موجودیت‌های عملیاتی (برچسب‌های تصویر به زبان انگلیسی است).</w:t>
      </w:r>
    </w:p>
    <w:p>
      <w:pPr>
        <w:pStyle w:val="Heading1"/>
        <w:jc w:val="right"/>
        <w:bidi w:val="1"/>
      </w:pPr>
      <w:r>
        <w:t>4. طراحی منطقی و فیزیکی پایگاه داده</w:t>
      </w:r>
    </w:p>
    <w:p>
      <w:pPr>
        <w:pStyle w:val="Heading2"/>
        <w:jc w:val="right"/>
        <w:bidi w:val="1"/>
      </w:pPr>
      <w:r>
        <w:t>موجودیت‌های هویت و کنترل دسترسی</w:t>
      </w:r>
    </w:p>
    <w:p>
      <w:pPr>
        <w:spacing w:after="140"/>
        <w:jc w:val="right"/>
        <w:bidi w:val="1"/>
      </w:pPr>
      <w:r>
        <w:rPr>
          <w:b w:val="0"/>
        </w:rPr>
        <w:t>جدول accounts_user از ایمیل به‌عنوان شناسه ورود استفاده می‌کند. UserProfile برای اطلاعات تکمیلی یک‌به‌یک است. نقش‌ها و مجوزها به‌صورت مدل‌های مستقل و جداول واسط UserRole و RolePermission پیاده‌سازی می‌شوند تا افزودن یا تغییر نقش نیازی به تغییر ساختار User نداشته باشد.</w:t>
      </w:r>
    </w:p>
    <w:p>
      <w:pPr>
        <w:pStyle w:val="Heading2"/>
        <w:jc w:val="right"/>
        <w:bidi w:val="1"/>
      </w:pPr>
      <w:r>
        <w:t>موجودیت‌های عملیات بحران</w:t>
      </w:r>
    </w:p>
    <w:p>
      <w:pPr>
        <w:spacing w:after="140"/>
        <w:jc w:val="right"/>
        <w:bidi w:val="1"/>
      </w:pPr>
      <w:r>
        <w:rPr>
          <w:b w:val="0"/>
        </w:rPr>
        <w:t>Disaster دارای چند Mission است. Mission با coordinator_id به کاربر مسئول متصل می‌شود و از حذف کاربر هماهنگ‌کننده با سیاست PROTECT/RESTRICT حفاظت می‌شود. MissionApplication و Assignment هر دو قید یکتای (mission_id, volunteer_id) دارند؛ نخستین قید از درخواست تکراری و دومین قید از تخصیص تکراری جلوگیری می‌کند.</w:t>
      </w:r>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قید یا تصمیم</w:t>
            </w:r>
          </w:p>
        </w:tc>
        <w:tc>
          <w:tcPr>
            <w:tcW w:type="dxa" w:w="4986"/>
            <w:shd w:fill="0B5E8E"/>
            <w:vAlign w:val="center"/>
          </w:tcPr>
          <w:p>
            <w:pPr>
              <w:jc w:val="center"/>
              <w:bidi w:val="1"/>
            </w:pPr>
            <w:r>
              <w:rPr>
                <w:b/>
                <w:color w:val="FFFFFF"/>
              </w:rPr>
              <w:t>دلیل فنی</w:t>
            </w:r>
          </w:p>
        </w:tc>
      </w:tr>
      <w:tr>
        <w:tc>
          <w:tcPr>
            <w:tcW w:type="dxa" w:w="4986"/>
            <w:vAlign w:val="center"/>
          </w:tcPr>
          <w:p>
            <w:pPr>
              <w:jc w:val="right"/>
              <w:bidi w:val="1"/>
            </w:pPr>
            <w:r>
              <w:t>UNIQUE(mission_id, volunteer_id)</w:t>
            </w:r>
          </w:p>
        </w:tc>
        <w:tc>
          <w:tcPr>
            <w:tcW w:type="dxa" w:w="4986"/>
            <w:vAlign w:val="center"/>
          </w:tcPr>
          <w:p>
            <w:pPr>
              <w:jc w:val="right"/>
              <w:bidi w:val="1"/>
            </w:pPr>
            <w:r>
              <w:t>جلوگیری از درخواست یا تخصیص تکراری در شرایط هم‌زمانی</w:t>
            </w:r>
          </w:p>
        </w:tc>
      </w:tr>
      <w:tr>
        <w:tc>
          <w:tcPr>
            <w:tcW w:type="dxa" w:w="4986"/>
            <w:vAlign w:val="center"/>
          </w:tcPr>
          <w:p>
            <w:pPr>
              <w:jc w:val="right"/>
              <w:bidi w:val="1"/>
            </w:pPr>
            <w:r>
              <w:t>FK Mission→Disaster با CASCADE</w:t>
            </w:r>
          </w:p>
        </w:tc>
        <w:tc>
          <w:tcPr>
            <w:tcW w:type="dxa" w:w="4986"/>
            <w:vAlign w:val="center"/>
          </w:tcPr>
          <w:p>
            <w:pPr>
              <w:jc w:val="right"/>
              <w:bidi w:val="1"/>
            </w:pPr>
            <w:r>
              <w:t>حذف رخداد تنها با حذف مأموریت‌های وابسته و بر اساس سیاست مصوب</w:t>
            </w:r>
          </w:p>
        </w:tc>
      </w:tr>
      <w:tr>
        <w:tc>
          <w:tcPr>
            <w:tcW w:type="dxa" w:w="4986"/>
            <w:vAlign w:val="center"/>
          </w:tcPr>
          <w:p>
            <w:pPr>
              <w:jc w:val="right"/>
              <w:bidi w:val="1"/>
            </w:pPr>
            <w:r>
              <w:t>FK Mission→Coordinator با RESTRICT</w:t>
            </w:r>
          </w:p>
        </w:tc>
        <w:tc>
          <w:tcPr>
            <w:tcW w:type="dxa" w:w="4986"/>
            <w:vAlign w:val="center"/>
          </w:tcPr>
          <w:p>
            <w:pPr>
              <w:jc w:val="right"/>
              <w:bidi w:val="1"/>
            </w:pPr>
            <w:r>
              <w:t>حفظ مسئولیت‌پذیری و جلوگیری از یتیم شدن مأموریت</w:t>
            </w:r>
          </w:p>
        </w:tc>
      </w:tr>
      <w:tr>
        <w:tc>
          <w:tcPr>
            <w:tcW w:type="dxa" w:w="4986"/>
            <w:vAlign w:val="center"/>
          </w:tcPr>
          <w:p>
            <w:pPr>
              <w:jc w:val="right"/>
              <w:bidi w:val="1"/>
            </w:pPr>
            <w:r>
              <w:t>Check required_volunteers &gt; 0</w:t>
            </w:r>
          </w:p>
        </w:tc>
        <w:tc>
          <w:tcPr>
            <w:tcW w:type="dxa" w:w="4986"/>
            <w:vAlign w:val="center"/>
          </w:tcPr>
          <w:p>
            <w:pPr>
              <w:jc w:val="right"/>
              <w:bidi w:val="1"/>
            </w:pPr>
            <w:r>
              <w:t>حفظ اعتبار ظرفیت مأموریت</w:t>
            </w:r>
          </w:p>
        </w:tc>
      </w:tr>
      <w:tr>
        <w:tc>
          <w:tcPr>
            <w:tcW w:type="dxa" w:w="4986"/>
            <w:vAlign w:val="center"/>
          </w:tcPr>
          <w:p>
            <w:pPr>
              <w:jc w:val="right"/>
              <w:bidi w:val="1"/>
            </w:pPr>
            <w:r>
              <w:t>JSONB برای metadata/needs/availability</w:t>
            </w:r>
          </w:p>
        </w:tc>
        <w:tc>
          <w:tcPr>
            <w:tcW w:type="dxa" w:w="4986"/>
            <w:vAlign w:val="center"/>
          </w:tcPr>
          <w:p>
            <w:pPr>
              <w:jc w:val="right"/>
              <w:bidi w:val="1"/>
            </w:pPr>
            <w:r>
              <w:t>ثبت داده نیمه‌ساخت‌یافته بدون تکرار ستون‌های ناپایدار</w:t>
            </w:r>
          </w:p>
        </w:tc>
      </w:tr>
    </w:tbl>
    <w:p/>
    <w:p>
      <w:pPr>
        <w:pStyle w:val="Heading2"/>
        <w:jc w:val="right"/>
        <w:bidi w:val="1"/>
      </w:pPr>
      <w:r>
        <w:t>واژگان وضعیت و انتقال‌ها</w:t>
      </w:r>
    </w:p>
    <w:p>
      <w:pPr>
        <w:spacing w:after="140"/>
        <w:jc w:val="right"/>
        <w:bidi w:val="1"/>
      </w:pPr>
      <w:r>
        <w:rPr>
          <w:b w:val="0"/>
        </w:rPr>
        <w:t>وضعیت‌ها باید در لایه دامنه اعتبارسنجی شوند؛ پایگاه داده نیز برای پیشگیری از ثبت مقدار خارج از دامنه از CHECK یا نوع enum کنترل‌شده استفاده می‌کند. تغییر وضعیت درخواست، تخصیص و اعلان باید در یک تراکنش یا الگوی قابل جبران مدیریت شود.</w:t>
      </w:r>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وضعیت‌های اصلی</w:t>
            </w:r>
          </w:p>
        </w:tc>
        <w:tc>
          <w:tcPr>
            <w:tcW w:type="dxa" w:w="4986"/>
            <w:shd w:fill="0B5E8E"/>
            <w:vAlign w:val="center"/>
          </w:tcPr>
          <w:p>
            <w:pPr>
              <w:jc w:val="center"/>
              <w:bidi w:val="1"/>
            </w:pPr>
            <w:r>
              <w:rPr>
                <w:b/>
                <w:color w:val="FFFFFF"/>
              </w:rPr>
              <w:t>موجودیت</w:t>
            </w:r>
          </w:p>
        </w:tc>
      </w:tr>
      <w:tr>
        <w:tc>
          <w:tcPr>
            <w:tcW w:type="dxa" w:w="4986"/>
            <w:vAlign w:val="center"/>
          </w:tcPr>
          <w:p>
            <w:pPr>
              <w:jc w:val="right"/>
              <w:bidi w:val="1"/>
            </w:pPr>
            <w:r>
              <w:t>registered، pending_approval، active، rejected</w:t>
            </w:r>
          </w:p>
        </w:tc>
        <w:tc>
          <w:tcPr>
            <w:tcW w:type="dxa" w:w="4986"/>
            <w:vAlign w:val="center"/>
          </w:tcPr>
          <w:p>
            <w:pPr>
              <w:jc w:val="right"/>
              <w:bidi w:val="1"/>
            </w:pPr>
            <w:r>
              <w:t>VolunteerProfile</w:t>
            </w:r>
          </w:p>
        </w:tc>
      </w:tr>
      <w:tr>
        <w:tc>
          <w:tcPr>
            <w:tcW w:type="dxa" w:w="4986"/>
            <w:vAlign w:val="center"/>
          </w:tcPr>
          <w:p>
            <w:pPr>
              <w:jc w:val="right"/>
              <w:bidi w:val="1"/>
            </w:pPr>
            <w:r>
              <w:t>draft، published، in_progress، completed، closed</w:t>
            </w:r>
          </w:p>
        </w:tc>
        <w:tc>
          <w:tcPr>
            <w:tcW w:type="dxa" w:w="4986"/>
            <w:vAlign w:val="center"/>
          </w:tcPr>
          <w:p>
            <w:pPr>
              <w:jc w:val="right"/>
              <w:bidi w:val="1"/>
            </w:pPr>
            <w:r>
              <w:t>Mission</w:t>
            </w:r>
          </w:p>
        </w:tc>
      </w:tr>
      <w:tr>
        <w:tc>
          <w:tcPr>
            <w:tcW w:type="dxa" w:w="4986"/>
            <w:vAlign w:val="center"/>
          </w:tcPr>
          <w:p>
            <w:pPr>
              <w:jc w:val="right"/>
              <w:bidi w:val="1"/>
            </w:pPr>
            <w:r>
              <w:t>submitted، waitlist، approved، rejected، withdrawn</w:t>
            </w:r>
          </w:p>
        </w:tc>
        <w:tc>
          <w:tcPr>
            <w:tcW w:type="dxa" w:w="4986"/>
            <w:vAlign w:val="center"/>
          </w:tcPr>
          <w:p>
            <w:pPr>
              <w:jc w:val="right"/>
              <w:bidi w:val="1"/>
            </w:pPr>
            <w:r>
              <w:t>MissionApplication</w:t>
            </w:r>
          </w:p>
        </w:tc>
      </w:tr>
      <w:tr>
        <w:tc>
          <w:tcPr>
            <w:tcW w:type="dxa" w:w="4986"/>
            <w:vAlign w:val="center"/>
          </w:tcPr>
          <w:p>
            <w:pPr>
              <w:jc w:val="right"/>
              <w:bidi w:val="1"/>
            </w:pPr>
            <w:r>
              <w:t>pending، accepted، checked_in، completed، declined</w:t>
            </w:r>
          </w:p>
        </w:tc>
        <w:tc>
          <w:tcPr>
            <w:tcW w:type="dxa" w:w="4986"/>
            <w:vAlign w:val="center"/>
          </w:tcPr>
          <w:p>
            <w:pPr>
              <w:jc w:val="right"/>
              <w:bidi w:val="1"/>
            </w:pPr>
            <w:r>
              <w:t>Assignment</w:t>
            </w:r>
          </w:p>
        </w:tc>
      </w:tr>
      <w:tr>
        <w:tc>
          <w:tcPr>
            <w:tcW w:type="dxa" w:w="4986"/>
            <w:vAlign w:val="center"/>
          </w:tcPr>
          <w:p>
            <w:pPr>
              <w:jc w:val="right"/>
              <w:bidi w:val="1"/>
            </w:pPr>
            <w:r>
              <w:t>draft، submitted، reviewed</w:t>
            </w:r>
          </w:p>
        </w:tc>
        <w:tc>
          <w:tcPr>
            <w:tcW w:type="dxa" w:w="4986"/>
            <w:vAlign w:val="center"/>
          </w:tcPr>
          <w:p>
            <w:pPr>
              <w:jc w:val="right"/>
              <w:bidi w:val="1"/>
            </w:pPr>
            <w:r>
              <w:t>MissionReport</w:t>
            </w:r>
          </w:p>
        </w:tc>
      </w:tr>
    </w:tbl>
    <w:p/>
    <w:p>
      <w:pPr>
        <w:jc w:val="center"/>
      </w:pPr>
      <w:r>
        <w:drawing>
          <wp:inline xmlns:a="http://schemas.openxmlformats.org/drawingml/2006/main" xmlns:pic="http://schemas.openxmlformats.org/drawingml/2006/picture">
            <wp:extent cx="5940000" cy="2970000"/>
            <wp:docPr id="2" name="Picture 2"/>
            <wp:cNvGraphicFramePr>
              <a:graphicFrameLocks noChangeAspect="1"/>
            </wp:cNvGraphicFramePr>
            <a:graphic>
              <a:graphicData uri="http://schemas.openxmlformats.org/drawingml/2006/picture">
                <pic:pic>
                  <pic:nvPicPr>
                    <pic:cNvPr id="0" name="mission_flow.png"/>
                    <pic:cNvPicPr/>
                  </pic:nvPicPr>
                  <pic:blipFill>
                    <a:blip r:embed="rId12"/>
                    <a:stretch>
                      <a:fillRect/>
                    </a:stretch>
                  </pic:blipFill>
                  <pic:spPr>
                    <a:xfrm>
                      <a:off x="0" y="0"/>
                      <a:ext cx="5940000" cy="2970000"/>
                    </a:xfrm>
                    <a:prstGeom prst="rect"/>
                  </pic:spPr>
                </pic:pic>
              </a:graphicData>
            </a:graphic>
          </wp:inline>
        </w:drawing>
      </w:r>
    </w:p>
    <w:p>
      <w:pPr>
        <w:jc w:val="center"/>
        <w:bidi w:val="1"/>
      </w:pPr>
      <w:r>
        <w:rPr>
          <w:i/>
          <w:sz w:val="20"/>
        </w:rPr>
        <w:t>شکل — جریان درخواست داوطلب، بررسی هماهنگ‌کننده، تخصیص و ثبت گزارش.</w:t>
      </w:r>
    </w:p>
    <w:p>
      <w:pPr>
        <w:pStyle w:val="Heading1"/>
        <w:jc w:val="right"/>
        <w:bidi w:val="1"/>
      </w:pPr>
      <w:r>
        <w:t>5. کلیدها، روابط و راهبرد ایندکس</w:t>
      </w:r>
    </w:p>
    <w:p>
      <w:pPr>
        <w:spacing w:after="140"/>
        <w:jc w:val="right"/>
        <w:bidi w:val="1"/>
      </w:pPr>
      <w:r>
        <w:rPr>
          <w:b w:val="0"/>
        </w:rPr>
        <w:t>کلید اصلی UUID امکان ایجاد امن شناسه در محیط‌های توزیع‌شده، کاهش خطر افشای توالی رکوردها و همگام‌سازی بهتر را فراهم می‌کند. کلیدهای خارجی روی مسیرهای اتصال و ایندکس‌های کاربردی روی فیلترهای پرتکرار ایجاد می‌شوند. صرف داشتن FK جایگزین ایندکس‌های موردنیاز برای گزارش و صف‌ها نیست.</w:t>
      </w:r>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کاربرد</w:t>
            </w:r>
          </w:p>
        </w:tc>
        <w:tc>
          <w:tcPr>
            <w:tcW w:type="dxa" w:w="4986"/>
            <w:shd w:fill="0B5E8E"/>
            <w:vAlign w:val="center"/>
          </w:tcPr>
          <w:p>
            <w:pPr>
              <w:jc w:val="center"/>
              <w:bidi w:val="1"/>
            </w:pPr>
            <w:r>
              <w:rPr>
                <w:b/>
                <w:color w:val="FFFFFF"/>
              </w:rPr>
              <w:t>ایندکس پیشنهادی</w:t>
            </w:r>
          </w:p>
        </w:tc>
      </w:tr>
      <w:tr>
        <w:tc>
          <w:tcPr>
            <w:tcW w:type="dxa" w:w="4986"/>
            <w:vAlign w:val="center"/>
          </w:tcPr>
          <w:p>
            <w:pPr>
              <w:jc w:val="right"/>
              <w:bidi w:val="1"/>
            </w:pPr>
            <w:r>
              <w:t>داشبورد هماهنگ‌کننده</w:t>
            </w:r>
          </w:p>
        </w:tc>
        <w:tc>
          <w:tcPr>
            <w:tcW w:type="dxa" w:w="4986"/>
            <w:vAlign w:val="center"/>
          </w:tcPr>
          <w:p>
            <w:pPr>
              <w:jc w:val="right"/>
              <w:bidi w:val="1"/>
            </w:pPr>
            <w:r>
              <w:t>missions(coordinator_id, status) WHERE deleted_at IS NULL</w:t>
            </w:r>
          </w:p>
        </w:tc>
      </w:tr>
      <w:tr>
        <w:tc>
          <w:tcPr>
            <w:tcW w:type="dxa" w:w="4986"/>
            <w:vAlign w:val="center"/>
          </w:tcPr>
          <w:p>
            <w:pPr>
              <w:jc w:val="right"/>
              <w:bidi w:val="1"/>
            </w:pPr>
            <w:r>
              <w:t>صندوق درخواست‌های در انتظار</w:t>
            </w:r>
          </w:p>
        </w:tc>
        <w:tc>
          <w:tcPr>
            <w:tcW w:type="dxa" w:w="4986"/>
            <w:vAlign w:val="center"/>
          </w:tcPr>
          <w:p>
            <w:pPr>
              <w:jc w:val="right"/>
              <w:bidi w:val="1"/>
            </w:pPr>
            <w:r>
              <w:t>mission_application(status, created_at DESC) با فیلتر submitted/waitlist</w:t>
            </w:r>
          </w:p>
        </w:tc>
      </w:tr>
      <w:tr>
        <w:tc>
          <w:tcPr>
            <w:tcW w:type="dxa" w:w="4986"/>
            <w:vAlign w:val="center"/>
          </w:tcPr>
          <w:p>
            <w:pPr>
              <w:jc w:val="right"/>
              <w:bidi w:val="1"/>
            </w:pPr>
            <w:r>
              <w:t>ماموریت‌های قابل مشاهده داوطلب</w:t>
            </w:r>
          </w:p>
        </w:tc>
        <w:tc>
          <w:tcPr>
            <w:tcW w:type="dxa" w:w="4986"/>
            <w:vAlign w:val="center"/>
          </w:tcPr>
          <w:p>
            <w:pPr>
              <w:jc w:val="right"/>
              <w:bidi w:val="1"/>
            </w:pPr>
            <w:r>
              <w:t>missions(status, is_visible_to_volunteers)</w:t>
            </w:r>
          </w:p>
        </w:tc>
      </w:tr>
      <w:tr>
        <w:tc>
          <w:tcPr>
            <w:tcW w:type="dxa" w:w="4986"/>
            <w:vAlign w:val="center"/>
          </w:tcPr>
          <w:p>
            <w:pPr>
              <w:jc w:val="right"/>
              <w:bidi w:val="1"/>
            </w:pPr>
            <w:r>
              <w:t>نشان اعلان خوانده‌نشده</w:t>
            </w:r>
          </w:p>
        </w:tc>
        <w:tc>
          <w:tcPr>
            <w:tcW w:type="dxa" w:w="4986"/>
            <w:vAlign w:val="center"/>
          </w:tcPr>
          <w:p>
            <w:pPr>
              <w:jc w:val="right"/>
              <w:bidi w:val="1"/>
            </w:pPr>
            <w:r>
              <w:t>notifications(user_id, created_at DESC) WHERE read_at IS NULL</w:t>
            </w:r>
          </w:p>
        </w:tc>
      </w:tr>
      <w:tr>
        <w:tc>
          <w:tcPr>
            <w:tcW w:type="dxa" w:w="4986"/>
            <w:vAlign w:val="center"/>
          </w:tcPr>
          <w:p>
            <w:pPr>
              <w:jc w:val="right"/>
              <w:bidi w:val="1"/>
            </w:pPr>
            <w:r>
              <w:t>ردیابی رخداد</w:t>
            </w:r>
          </w:p>
        </w:tc>
        <w:tc>
          <w:tcPr>
            <w:tcW w:type="dxa" w:w="4986"/>
            <w:vAlign w:val="center"/>
          </w:tcPr>
          <w:p>
            <w:pPr>
              <w:jc w:val="right"/>
              <w:bidi w:val="1"/>
            </w:pPr>
            <w:r>
              <w:t>audit_log(resource_type, resource_id, created_at DESC)</w:t>
            </w:r>
          </w:p>
        </w:tc>
      </w:tr>
      <w:tr>
        <w:tc>
          <w:tcPr>
            <w:tcW w:type="dxa" w:w="4986"/>
            <w:vAlign w:val="center"/>
          </w:tcPr>
          <w:p>
            <w:pPr>
              <w:jc w:val="right"/>
              <w:bidi w:val="1"/>
            </w:pPr>
            <w:r>
              <w:t>جست‌وجوی نیازها/آمادگی منعطف</w:t>
            </w:r>
          </w:p>
        </w:tc>
        <w:tc>
          <w:tcPr>
            <w:tcW w:type="dxa" w:w="4986"/>
            <w:vAlign w:val="center"/>
          </w:tcPr>
          <w:p>
            <w:pPr>
              <w:jc w:val="right"/>
              <w:bidi w:val="1"/>
            </w:pPr>
            <w:r>
              <w:t>GIN روی JSONB پس از اندازه‌گیری واقعی بار</w:t>
            </w:r>
          </w:p>
        </w:tc>
      </w:tr>
    </w:tbl>
    <w:p/>
    <w:p>
      <w:pPr>
        <w:pStyle w:val="Heading2"/>
        <w:jc w:val="right"/>
        <w:bidi w:val="1"/>
      </w:pPr>
      <w:r>
        <w:t>قاعده استفاده از ایندکس</w:t>
      </w:r>
    </w:p>
    <w:p>
      <w:pPr>
        <w:spacing w:after="140"/>
        <w:jc w:val="right"/>
        <w:bidi w:val="1"/>
      </w:pPr>
      <w:r>
        <w:rPr>
          <w:b w:val="0"/>
        </w:rPr>
        <w:t>ایندکس اضافی سرعت نوشتن را کاهش و حجم ذخیره‌سازی را افزایش می‌دهد. پیش از افزودن هر ایندکس جدید باید با EXPLAIN (ANALYZE, BUFFERS) روی داده‌ای نزدیک به واقعیت، نرخ انتخاب‌پذیری و مسیر اجرای پرس‌وجو اندازه‌گیری شود.</w:t>
      </w:r>
    </w:p>
    <w:p>
      <w:pPr>
        <w:pStyle w:val="Heading1"/>
        <w:jc w:val="right"/>
        <w:bidi w:val="1"/>
      </w:pPr>
      <w:r>
        <w:t>6. معماری کلان سامانه و تعامل اجزا</w:t>
      </w:r>
    </w:p>
    <w:p>
      <w:pPr>
        <w:spacing w:after="140"/>
        <w:jc w:val="right"/>
        <w:bidi w:val="1"/>
      </w:pPr>
      <w:r>
        <w:rPr>
          <w:b w:val="0"/>
        </w:rPr>
        <w:t>معماری پیشنهادی از تفکیک لایه ارائه، درگاه وب، API، سرویس‌های دامنه، ذخیره‌سازی تراکنشی و پردازش غیرهم‌زمان استفاده می‌کند. React SPA تجربه کاربر را ارائه می‌کند؛ Nginx پایان TLS و مسیریابی را انجام می‌دهد؛ Django REST API مرز امنیتی و تجاری است؛ PostgreSQL منبع حقیقت تراکنشی و Redis کش/واسط صف است.</w:t>
      </w:r>
    </w:p>
    <w:p>
      <w:pPr>
        <w:jc w:val="center"/>
      </w:pPr>
      <w:r>
        <w:drawing>
          <wp:inline xmlns:a="http://schemas.openxmlformats.org/drawingml/2006/main" xmlns:pic="http://schemas.openxmlformats.org/drawingml/2006/picture">
            <wp:extent cx="5940000" cy="348975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3"/>
                    <a:stretch>
                      <a:fillRect/>
                    </a:stretch>
                  </pic:blipFill>
                  <pic:spPr>
                    <a:xfrm>
                      <a:off x="0" y="0"/>
                      <a:ext cx="5940000" cy="3489750"/>
                    </a:xfrm>
                    <a:prstGeom prst="rect"/>
                  </pic:spPr>
                </pic:pic>
              </a:graphicData>
            </a:graphic>
          </wp:inline>
        </w:drawing>
      </w:r>
    </w:p>
    <w:p>
      <w:pPr>
        <w:jc w:val="center"/>
        <w:bidi w:val="1"/>
      </w:pPr>
      <w:r>
        <w:rPr>
          <w:i/>
          <w:sz w:val="20"/>
        </w:rPr>
        <w:t>شکل — معماری سطح‌بالا و وابستگی‌های اصلی استقرار.</w:t>
      </w:r>
    </w:p>
    <w:p>
      <w:pPr>
        <w:pStyle w:val="Heading2"/>
        <w:jc w:val="right"/>
        <w:bidi w:val="1"/>
      </w:pPr>
      <w:r>
        <w:t>قراردادهای تعامل</w:t>
      </w:r>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تعامل</w:t>
            </w:r>
          </w:p>
        </w:tc>
        <w:tc>
          <w:tcPr>
            <w:tcW w:type="dxa" w:w="4986"/>
            <w:shd w:fill="0B5E8E"/>
            <w:vAlign w:val="center"/>
          </w:tcPr>
          <w:p>
            <w:pPr>
              <w:jc w:val="center"/>
              <w:bidi w:val="1"/>
            </w:pPr>
            <w:r>
              <w:rPr>
                <w:b/>
                <w:color w:val="FFFFFF"/>
              </w:rPr>
              <w:t>قرارداد</w:t>
            </w:r>
          </w:p>
        </w:tc>
      </w:tr>
      <w:tr>
        <w:tc>
          <w:tcPr>
            <w:tcW w:type="dxa" w:w="4986"/>
            <w:vAlign w:val="center"/>
          </w:tcPr>
          <w:p>
            <w:pPr>
              <w:jc w:val="right"/>
              <w:bidi w:val="1"/>
            </w:pPr>
            <w:r>
              <w:t>Frontend ↔ API</w:t>
            </w:r>
          </w:p>
        </w:tc>
        <w:tc>
          <w:tcPr>
            <w:tcW w:type="dxa" w:w="4986"/>
            <w:vAlign w:val="center"/>
          </w:tcPr>
          <w:p>
            <w:pPr>
              <w:jc w:val="right"/>
              <w:bidi w:val="1"/>
            </w:pPr>
            <w:r>
              <w:t>REST/JSON نسخه‌دار (/api/v1)، JWT، پاسخ خطای یکنواخت و اعتبارسنجی ورودی</w:t>
            </w:r>
          </w:p>
        </w:tc>
      </w:tr>
      <w:tr>
        <w:tc>
          <w:tcPr>
            <w:tcW w:type="dxa" w:w="4986"/>
            <w:vAlign w:val="center"/>
          </w:tcPr>
          <w:p>
            <w:pPr>
              <w:jc w:val="right"/>
              <w:bidi w:val="1"/>
            </w:pPr>
            <w:r>
              <w:t>API ↔ PostgreSQL</w:t>
            </w:r>
          </w:p>
        </w:tc>
        <w:tc>
          <w:tcPr>
            <w:tcW w:type="dxa" w:w="4986"/>
            <w:vAlign w:val="center"/>
          </w:tcPr>
          <w:p>
            <w:pPr>
              <w:jc w:val="right"/>
              <w:bidi w:val="1"/>
            </w:pPr>
            <w:r>
              <w:t>Django ORM و تراکنش اتمیک برای تغییرهای چندجدولی</w:t>
            </w:r>
          </w:p>
        </w:tc>
      </w:tr>
      <w:tr>
        <w:tc>
          <w:tcPr>
            <w:tcW w:type="dxa" w:w="4986"/>
            <w:vAlign w:val="center"/>
          </w:tcPr>
          <w:p>
            <w:pPr>
              <w:jc w:val="right"/>
              <w:bidi w:val="1"/>
            </w:pPr>
            <w:r>
              <w:t>API/Domain ↔ Celery</w:t>
            </w:r>
          </w:p>
        </w:tc>
        <w:tc>
          <w:tcPr>
            <w:tcW w:type="dxa" w:w="4986"/>
            <w:vAlign w:val="center"/>
          </w:tcPr>
          <w:p>
            <w:pPr>
              <w:jc w:val="right"/>
              <w:bidi w:val="1"/>
            </w:pPr>
            <w:r>
              <w:t>وظیفه غیرهم‌زمان برای اعلان و کارهای زمان‌بر؛ عدم اتکا به تحویل دقیقاً یک‌بار</w:t>
            </w:r>
          </w:p>
        </w:tc>
      </w:tr>
      <w:tr>
        <w:tc>
          <w:tcPr>
            <w:tcW w:type="dxa" w:w="4986"/>
            <w:vAlign w:val="center"/>
          </w:tcPr>
          <w:p>
            <w:pPr>
              <w:jc w:val="right"/>
              <w:bidi w:val="1"/>
            </w:pPr>
            <w:r>
              <w:t>Celery ↔ SMTP</w:t>
            </w:r>
          </w:p>
        </w:tc>
        <w:tc>
          <w:tcPr>
            <w:tcW w:type="dxa" w:w="4986"/>
            <w:vAlign w:val="center"/>
          </w:tcPr>
          <w:p>
            <w:pPr>
              <w:jc w:val="right"/>
              <w:bidi w:val="1"/>
            </w:pPr>
            <w:r>
              <w:t>ارسال ایمیل با ثبت خطا، امکان retry و مشاهده‌پذیری</w:t>
            </w:r>
          </w:p>
        </w:tc>
      </w:tr>
      <w:tr>
        <w:tc>
          <w:tcPr>
            <w:tcW w:type="dxa" w:w="4986"/>
            <w:vAlign w:val="center"/>
          </w:tcPr>
          <w:p>
            <w:pPr>
              <w:jc w:val="right"/>
              <w:bidi w:val="1"/>
            </w:pPr>
            <w:r>
              <w:t>Admin ↔ DB</w:t>
            </w:r>
          </w:p>
        </w:tc>
        <w:tc>
          <w:tcPr>
            <w:tcW w:type="dxa" w:w="4986"/>
            <w:vAlign w:val="center"/>
          </w:tcPr>
          <w:p>
            <w:pPr>
              <w:jc w:val="right"/>
              <w:bidi w:val="1"/>
            </w:pPr>
            <w:r>
              <w:t>PgAdmin فقط از شبکه/حساب کنترل‌شده؛ منع استفاده از حساب برنامه برای عملیات DBA</w:t>
            </w:r>
          </w:p>
        </w:tc>
      </w:tr>
    </w:tbl>
    <w:p/>
    <w:p>
      <w:pPr>
        <w:pStyle w:val="Heading1"/>
        <w:jc w:val="right"/>
        <w:bidi w:val="1"/>
      </w:pPr>
      <w:r>
        <w:t>7. امنیت، حریم خصوصی، پایداری و عملیات</w:t>
      </w:r>
    </w:p>
    <w:p>
      <w:pPr>
        <w:jc w:val="center"/>
      </w:pPr>
      <w:r>
        <w:drawing>
          <wp:inline xmlns:a="http://schemas.openxmlformats.org/drawingml/2006/main" xmlns:pic="http://schemas.openxmlformats.org/drawingml/2006/picture">
            <wp:extent cx="5940000" cy="3341250"/>
            <wp:docPr id="4" name="Picture 4"/>
            <wp:cNvGraphicFramePr>
              <a:graphicFrameLocks noChangeAspect="1"/>
            </wp:cNvGraphicFramePr>
            <a:graphic>
              <a:graphicData uri="http://schemas.openxmlformats.org/drawingml/2006/picture">
                <pic:pic>
                  <pic:nvPicPr>
                    <pic:cNvPr id="0" name="data_governance.png"/>
                    <pic:cNvPicPr/>
                  </pic:nvPicPr>
                  <pic:blipFill>
                    <a:blip r:embed="rId14"/>
                    <a:stretch>
                      <a:fillRect/>
                    </a:stretch>
                  </pic:blipFill>
                  <pic:spPr>
                    <a:xfrm>
                      <a:off x="0" y="0"/>
                      <a:ext cx="5940000" cy="3341250"/>
                    </a:xfrm>
                    <a:prstGeom prst="rect"/>
                  </pic:spPr>
                </pic:pic>
              </a:graphicData>
            </a:graphic>
          </wp:inline>
        </w:drawing>
      </w:r>
    </w:p>
    <w:p>
      <w:pPr>
        <w:jc w:val="center"/>
        <w:bidi w:val="1"/>
      </w:pPr>
      <w:r>
        <w:rPr>
          <w:i/>
          <w:sz w:val="20"/>
        </w:rPr>
        <w:t>شکل — کنترل‌های مرجع حاکمیت داده و پایداری.</w:t>
      </w:r>
    </w:p>
    <w:p>
      <w:pPr>
        <w:pStyle w:val="Heading2"/>
        <w:jc w:val="right"/>
        <w:bidi w:val="1"/>
      </w:pPr>
      <w:r>
        <w:t>کنترل‌های حداقلی پیش از تولید</w:t>
      </w:r>
    </w:p>
    <w:p>
      <w:pPr>
        <w:pStyle w:val="ListBullet"/>
        <w:jc w:val="right"/>
        <w:bidi w:val="1"/>
      </w:pPr>
      <w:r>
        <w:t>TLS برای تمام مسیرهای بیرونی، اسرار تنها در متغیرهای محیطی یا مدیر اسرار و منع ثبت رمز/توکن در مخزن.</w:t>
      </w:r>
    </w:p>
    <w:p>
      <w:pPr>
        <w:pStyle w:val="ListBullet"/>
        <w:jc w:val="right"/>
        <w:bidi w:val="1"/>
      </w:pPr>
      <w:r>
        <w:t>سیاست RBAC با آزمون مجوز برای تمام endpointهای حساس؛ دسترسی هماهنگ‌کننده فقط به مأموریت‌های خود.</w:t>
      </w:r>
    </w:p>
    <w:p>
      <w:pPr>
        <w:pStyle w:val="ListBullet"/>
        <w:jc w:val="right"/>
        <w:bidi w:val="1"/>
      </w:pPr>
      <w:r>
        <w:t>نسخه پشتیبان رمزگذاری‌شده، آزمایش بازیابی دوره‌ای، RPO/RTO مصوب و پایش ظرفیت دیسک.</w:t>
      </w:r>
    </w:p>
    <w:p>
      <w:pPr>
        <w:pStyle w:val="ListBullet"/>
        <w:jc w:val="right"/>
        <w:bidi w:val="1"/>
      </w:pPr>
      <w:r>
        <w:t>ثبت رویدادهای امنیتی و عملیاتی بدون ذخیره رمز، JWT خام یا اطلاعات پزشکی غیرضروری.</w:t>
      </w:r>
    </w:p>
    <w:p>
      <w:pPr>
        <w:pStyle w:val="ListBullet"/>
        <w:jc w:val="right"/>
        <w:bidi w:val="1"/>
      </w:pPr>
      <w:r>
        <w:t>سیاست نگهداری برای PII، پیوست‌ها، گزارش‌ها و logها؛ فرآیند حذف نهایی پس از دوره قانونی.</w:t>
      </w:r>
    </w:p>
    <w:p>
      <w:pPr>
        <w:pStyle w:val="Heading2"/>
        <w:jc w:val="right"/>
        <w:bidi w:val="1"/>
      </w:pPr>
      <w:r>
        <w:t>ملاحظات تراکنش و هم‌زمانی</w:t>
      </w:r>
    </w:p>
    <w:p>
      <w:pPr>
        <w:spacing w:after="140"/>
        <w:jc w:val="right"/>
        <w:bidi w:val="1"/>
      </w:pPr>
      <w:r>
        <w:rPr>
          <w:b w:val="0"/>
        </w:rPr>
        <w:t>تأیید درخواست باید MissionApplication را قفل/بازخوانی کند، ظرفیت باقیمانده را بررسی نماید، Assignment ایجاد کند و رویداد اعلان را ثبت کند. قید یکتا حفاظت پایه است، ولی کنترل ظرفیت نیز باید در تراکنش با isolation مناسب یا قفل سطری انجام شود تا دو تأیید هم‌زمان بیش‌ازظرفیت ایجاد نکند.</w:t>
      </w:r>
    </w:p>
    <w:p>
      <w:pPr>
        <w:pStyle w:val="Heading1"/>
        <w:jc w:val="right"/>
        <w:bidi w:val="1"/>
      </w:pPr>
      <w:r>
        <w:t>8. مشخصات فنی اولیه برای ورود به توسعه</w:t>
      </w:r>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مشخصات</w:t>
            </w:r>
          </w:p>
        </w:tc>
        <w:tc>
          <w:tcPr>
            <w:tcW w:type="dxa" w:w="4986"/>
            <w:shd w:fill="0B5E8E"/>
            <w:vAlign w:val="center"/>
          </w:tcPr>
          <w:p>
            <w:pPr>
              <w:jc w:val="center"/>
              <w:bidi w:val="1"/>
            </w:pPr>
            <w:r>
              <w:rPr>
                <w:b/>
                <w:color w:val="FFFFFF"/>
              </w:rPr>
              <w:t>تصمیم اولیه</w:t>
            </w:r>
          </w:p>
        </w:tc>
      </w:tr>
      <w:tr>
        <w:tc>
          <w:tcPr>
            <w:tcW w:type="dxa" w:w="4986"/>
            <w:vAlign w:val="center"/>
          </w:tcPr>
          <w:p>
            <w:pPr>
              <w:jc w:val="right"/>
              <w:bidi w:val="1"/>
            </w:pPr>
            <w:r>
              <w:t>Backend</w:t>
            </w:r>
          </w:p>
        </w:tc>
        <w:tc>
          <w:tcPr>
            <w:tcW w:type="dxa" w:w="4986"/>
            <w:vAlign w:val="center"/>
          </w:tcPr>
          <w:p>
            <w:pPr>
              <w:jc w:val="right"/>
              <w:bidi w:val="1"/>
            </w:pPr>
            <w:r>
              <w:t>Python، Django، Django REST Framework، JWT، Celery</w:t>
            </w:r>
          </w:p>
        </w:tc>
      </w:tr>
      <w:tr>
        <w:tc>
          <w:tcPr>
            <w:tcW w:type="dxa" w:w="4986"/>
            <w:vAlign w:val="center"/>
          </w:tcPr>
          <w:p>
            <w:pPr>
              <w:jc w:val="right"/>
              <w:bidi w:val="1"/>
            </w:pPr>
            <w:r>
              <w:t>Frontend</w:t>
            </w:r>
          </w:p>
        </w:tc>
        <w:tc>
          <w:tcPr>
            <w:tcW w:type="dxa" w:w="4986"/>
            <w:vAlign w:val="center"/>
          </w:tcPr>
          <w:p>
            <w:pPr>
              <w:jc w:val="right"/>
              <w:bidi w:val="1"/>
            </w:pPr>
            <w:r>
              <w:t>React، TypeScript، MUI، Redux Toolkit، TanStack Query</w:t>
            </w:r>
          </w:p>
        </w:tc>
      </w:tr>
      <w:tr>
        <w:tc>
          <w:tcPr>
            <w:tcW w:type="dxa" w:w="4986"/>
            <w:vAlign w:val="center"/>
          </w:tcPr>
          <w:p>
            <w:pPr>
              <w:jc w:val="right"/>
              <w:bidi w:val="1"/>
            </w:pPr>
            <w:r>
              <w:t>Database</w:t>
            </w:r>
          </w:p>
        </w:tc>
        <w:tc>
          <w:tcPr>
            <w:tcW w:type="dxa" w:w="4986"/>
            <w:vAlign w:val="center"/>
          </w:tcPr>
          <w:p>
            <w:pPr>
              <w:jc w:val="right"/>
              <w:bidi w:val="1"/>
            </w:pPr>
            <w:r>
              <w:t>PostgreSQL 17، UUID، JSONB کنترل‌شده، migration-managed schema</w:t>
            </w:r>
          </w:p>
        </w:tc>
      </w:tr>
      <w:tr>
        <w:tc>
          <w:tcPr>
            <w:tcW w:type="dxa" w:w="4986"/>
            <w:vAlign w:val="center"/>
          </w:tcPr>
          <w:p>
            <w:pPr>
              <w:jc w:val="right"/>
              <w:bidi w:val="1"/>
            </w:pPr>
            <w:r>
              <w:t>Cache / broker</w:t>
            </w:r>
          </w:p>
        </w:tc>
        <w:tc>
          <w:tcPr>
            <w:tcW w:type="dxa" w:w="4986"/>
            <w:vAlign w:val="center"/>
          </w:tcPr>
          <w:p>
            <w:pPr>
              <w:jc w:val="right"/>
              <w:bidi w:val="1"/>
            </w:pPr>
            <w:r>
              <w:t>Redis 7 با persistence متناسب محیط</w:t>
            </w:r>
          </w:p>
        </w:tc>
      </w:tr>
      <w:tr>
        <w:tc>
          <w:tcPr>
            <w:tcW w:type="dxa" w:w="4986"/>
            <w:vAlign w:val="center"/>
          </w:tcPr>
          <w:p>
            <w:pPr>
              <w:jc w:val="right"/>
              <w:bidi w:val="1"/>
            </w:pPr>
            <w:r>
              <w:t>Container</w:t>
            </w:r>
          </w:p>
        </w:tc>
        <w:tc>
          <w:tcPr>
            <w:tcW w:type="dxa" w:w="4986"/>
            <w:vAlign w:val="center"/>
          </w:tcPr>
          <w:p>
            <w:pPr>
              <w:jc w:val="right"/>
              <w:bidi w:val="1"/>
            </w:pPr>
            <w:r>
              <w:t>Docker Compose برای توسعه؛ image immutable برای تولید</w:t>
            </w:r>
          </w:p>
        </w:tc>
      </w:tr>
      <w:tr>
        <w:tc>
          <w:tcPr>
            <w:tcW w:type="dxa" w:w="4986"/>
            <w:vAlign w:val="center"/>
          </w:tcPr>
          <w:p>
            <w:pPr>
              <w:jc w:val="right"/>
              <w:bidi w:val="1"/>
            </w:pPr>
            <w:r>
              <w:t>Observability</w:t>
            </w:r>
          </w:p>
        </w:tc>
        <w:tc>
          <w:tcPr>
            <w:tcW w:type="dxa" w:w="4986"/>
            <w:vAlign w:val="center"/>
          </w:tcPr>
          <w:p>
            <w:pPr>
              <w:jc w:val="right"/>
              <w:bidi w:val="1"/>
            </w:pPr>
            <w:r>
              <w:t>Structured logs، health checks، metrics، audit trail و correlation id</w:t>
            </w:r>
          </w:p>
        </w:tc>
      </w:tr>
      <w:tr>
        <w:tc>
          <w:tcPr>
            <w:tcW w:type="dxa" w:w="4986"/>
            <w:vAlign w:val="center"/>
          </w:tcPr>
          <w:p>
            <w:pPr>
              <w:jc w:val="right"/>
              <w:bidi w:val="1"/>
            </w:pPr>
            <w:r>
              <w:t>API</w:t>
            </w:r>
          </w:p>
        </w:tc>
        <w:tc>
          <w:tcPr>
            <w:tcW w:type="dxa" w:w="4986"/>
            <w:vAlign w:val="center"/>
          </w:tcPr>
          <w:p>
            <w:pPr>
              <w:jc w:val="right"/>
              <w:bidi w:val="1"/>
            </w:pPr>
            <w:r>
              <w:t>REST نسخه‌دار، OpenAPI، pagination، filtering و contract tests</w:t>
            </w:r>
          </w:p>
        </w:tc>
      </w:tr>
    </w:tbl>
    <w:p/>
    <w:p>
      <w:pPr>
        <w:pStyle w:val="Heading2"/>
        <w:jc w:val="right"/>
        <w:bidi w:val="1"/>
      </w:pPr>
      <w:r>
        <w:t>دروازه‌های کیفیت</w:t>
      </w:r>
    </w:p>
    <w:p>
      <w:pPr>
        <w:pStyle w:val="ListBullet"/>
        <w:jc w:val="right"/>
        <w:bidi w:val="1"/>
      </w:pPr>
      <w:r>
        <w:t>مهاجرت پایگاه داده باید قابل rollback یا جبران باشد و روی نسخه پشتیبان تست شود.</w:t>
      </w:r>
    </w:p>
    <w:p>
      <w:pPr>
        <w:pStyle w:val="ListBullet"/>
        <w:jc w:val="right"/>
        <w:bidi w:val="1"/>
      </w:pPr>
      <w:r>
        <w:t>برای endpointهای چرخه مأموریت، آزمون نقش، آزمون وضعیت، آزمون هم‌زمانی و آزمون یکپارچگی داده الزامی است.</w:t>
      </w:r>
    </w:p>
    <w:p>
      <w:pPr>
        <w:pStyle w:val="ListBullet"/>
        <w:jc w:val="right"/>
        <w:bidi w:val="1"/>
      </w:pPr>
      <w:r>
        <w:t>برای تغییرهای داده حساس، بازبینی DBA/معمار، سناریوی پشتیبان‌گیری و طرح بازگشت مستند شود.</w:t>
      </w:r>
    </w:p>
    <w:p>
      <w:pPr>
        <w:pStyle w:val="ListBullet"/>
        <w:jc w:val="right"/>
        <w:bidi w:val="1"/>
      </w:pPr>
      <w:r>
        <w:t>اسکریپت تحویلی P22.sql مرجع خواندنی است؛ در محیط برنامه از Django migrations استفاده می‌شود.</w:t>
      </w:r>
    </w:p>
    <w:p>
      <w:pPr>
        <w:pStyle w:val="Heading1"/>
        <w:jc w:val="right"/>
        <w:bidi w:val="1"/>
      </w:pPr>
      <w:r>
        <w:t>9. برنامه ورود به فاز توسعه و معیار پذیرش</w:t>
      </w:r>
    </w:p>
    <w:tbl>
      <w:tblPr>
        <w:tblStyle w:val="LightShading-Accent1"/>
        <w:tblW w:type="auto" w:w="0"/>
        <w:jc w:val="center"/>
        <w:tblLook w:firstColumn="1" w:firstRow="1" w:lastColumn="0" w:lastRow="0" w:noHBand="0" w:noVBand="1" w:val="04A0"/>
      </w:tblPr>
      <w:tblGrid>
        <w:gridCol w:w="4986"/>
        <w:gridCol w:w="4986"/>
      </w:tblGrid>
      <w:tr>
        <w:tc>
          <w:tcPr>
            <w:tcW w:type="dxa" w:w="4986"/>
            <w:shd w:fill="0B5E8E"/>
            <w:vAlign w:val="center"/>
          </w:tcPr>
          <w:p>
            <w:pPr>
              <w:jc w:val="center"/>
              <w:bidi w:val="1"/>
            </w:pPr>
            <w:r>
              <w:rPr>
                <w:b/>
                <w:color w:val="FFFFFF"/>
              </w:rPr>
              <w:t>خروجی قابل پذیرش</w:t>
            </w:r>
          </w:p>
        </w:tc>
        <w:tc>
          <w:tcPr>
            <w:tcW w:type="dxa" w:w="4986"/>
            <w:shd w:fill="0B5E8E"/>
            <w:vAlign w:val="center"/>
          </w:tcPr>
          <w:p>
            <w:pPr>
              <w:jc w:val="center"/>
              <w:bidi w:val="1"/>
            </w:pPr>
            <w:r>
              <w:rPr>
                <w:b/>
                <w:color w:val="FFFFFF"/>
              </w:rPr>
              <w:t>گام</w:t>
            </w:r>
          </w:p>
        </w:tc>
      </w:tr>
      <w:tr>
        <w:tc>
          <w:tcPr>
            <w:tcW w:type="dxa" w:w="4986"/>
            <w:vAlign w:val="center"/>
          </w:tcPr>
          <w:p>
            <w:pPr>
              <w:jc w:val="right"/>
              <w:bidi w:val="1"/>
            </w:pPr>
            <w:r>
              <w:t>تأیید ERD، فرهنگ داده و مسئول هر داده حساس</w:t>
            </w:r>
          </w:p>
        </w:tc>
        <w:tc>
          <w:tcPr>
            <w:tcW w:type="dxa" w:w="4986"/>
            <w:vAlign w:val="center"/>
          </w:tcPr>
          <w:p>
            <w:pPr>
              <w:jc w:val="right"/>
              <w:bidi w:val="1"/>
            </w:pPr>
            <w:r>
              <w:t>۱. تثبیت طراحی</w:t>
            </w:r>
          </w:p>
        </w:tc>
      </w:tr>
      <w:tr>
        <w:tc>
          <w:tcPr>
            <w:tcW w:type="dxa" w:w="4986"/>
            <w:vAlign w:val="center"/>
          </w:tcPr>
          <w:p>
            <w:pPr>
              <w:jc w:val="right"/>
              <w:bidi w:val="1"/>
            </w:pPr>
            <w:r>
              <w:t>بازبینی migrationها و اجرای محیط آزمایشی با داده ساختگی</w:t>
            </w:r>
          </w:p>
        </w:tc>
        <w:tc>
          <w:tcPr>
            <w:tcW w:type="dxa" w:w="4986"/>
            <w:vAlign w:val="center"/>
          </w:tcPr>
          <w:p>
            <w:pPr>
              <w:jc w:val="right"/>
              <w:bidi w:val="1"/>
            </w:pPr>
            <w:r>
              <w:t>۲. پیاده‌سازی داده</w:t>
            </w:r>
          </w:p>
        </w:tc>
      </w:tr>
      <w:tr>
        <w:tc>
          <w:tcPr>
            <w:tcW w:type="dxa" w:w="4986"/>
            <w:vAlign w:val="center"/>
          </w:tcPr>
          <w:p>
            <w:pPr>
              <w:jc w:val="right"/>
              <w:bidi w:val="1"/>
            </w:pPr>
            <w:r>
              <w:t>پیاده‌سازی APIهای هویت، مأموریت، درخواست، تأیید و اعلان</w:t>
            </w:r>
          </w:p>
        </w:tc>
        <w:tc>
          <w:tcPr>
            <w:tcW w:type="dxa" w:w="4986"/>
            <w:vAlign w:val="center"/>
          </w:tcPr>
          <w:p>
            <w:pPr>
              <w:jc w:val="right"/>
              <w:bidi w:val="1"/>
            </w:pPr>
            <w:r>
              <w:t>۳. پیاده‌سازی دامنه</w:t>
            </w:r>
          </w:p>
        </w:tc>
      </w:tr>
      <w:tr>
        <w:tc>
          <w:tcPr>
            <w:tcW w:type="dxa" w:w="4986"/>
            <w:vAlign w:val="center"/>
          </w:tcPr>
          <w:p>
            <w:pPr>
              <w:jc w:val="right"/>
              <w:bidi w:val="1"/>
            </w:pPr>
            <w:r>
              <w:t>آزمون یکپارچگی، امنیت، بار و سناریوی ظرفیت</w:t>
            </w:r>
          </w:p>
        </w:tc>
        <w:tc>
          <w:tcPr>
            <w:tcW w:type="dxa" w:w="4986"/>
            <w:vAlign w:val="center"/>
          </w:tcPr>
          <w:p>
            <w:pPr>
              <w:jc w:val="right"/>
              <w:bidi w:val="1"/>
            </w:pPr>
            <w:r>
              <w:t>۴. تضمین کیفیت</w:t>
            </w:r>
          </w:p>
        </w:tc>
      </w:tr>
      <w:tr>
        <w:tc>
          <w:tcPr>
            <w:tcW w:type="dxa" w:w="4986"/>
            <w:vAlign w:val="center"/>
          </w:tcPr>
          <w:p>
            <w:pPr>
              <w:jc w:val="right"/>
              <w:bidi w:val="1"/>
            </w:pPr>
            <w:r>
              <w:t>بازیابی موفق پشتیبان، چک‌لیست امنیت و راهنمای استقرار</w:t>
            </w:r>
          </w:p>
        </w:tc>
        <w:tc>
          <w:tcPr>
            <w:tcW w:type="dxa" w:w="4986"/>
            <w:vAlign w:val="center"/>
          </w:tcPr>
          <w:p>
            <w:pPr>
              <w:jc w:val="right"/>
              <w:bidi w:val="1"/>
            </w:pPr>
            <w:r>
              <w:t>۵. آمادگی بهره‌برداری</w:t>
            </w:r>
          </w:p>
        </w:tc>
      </w:tr>
    </w:tbl>
    <w:p/>
    <w:p>
      <w:pPr>
        <w:spacing w:after="140"/>
        <w:jc w:val="right"/>
        <w:bidi w:val="1"/>
      </w:pPr>
      <w:r>
        <w:rPr>
          <w:b w:val="0"/>
        </w:rPr>
        <w:t>معیار پذیرش حیاتی: کاربر مجاز بتواند برای مأموریت منتشرشده درخواست یکتا ثبت کند؛ هماهنگ‌کننده مسئول بتواند آن را تصمیم‌گیری کند؛ تصمیم تأیید منجر به تخصیص و اعلان قابل رهگیری شود؛ و تمام این رخدادها در مسیر ممیزی قابل مشاهده باشند.</w:t>
      </w:r>
    </w:p>
    <w:p>
      <w:pPr>
        <w:pStyle w:val="Heading1"/>
        <w:jc w:val="right"/>
        <w:bidi w:val="1"/>
      </w:pPr>
      <w:r>
        <w:t>10. مراجع و اقلام تحویلی</w:t>
      </w:r>
    </w:p>
    <w:p>
      <w:pPr>
        <w:pStyle w:val="ListBullet"/>
        <w:jc w:val="right"/>
        <w:bidi w:val="1"/>
      </w:pPr>
      <w:r>
        <w:t>Django model و migrationهای پروژه در backend/src</w:t>
      </w:r>
    </w:p>
    <w:p>
      <w:pPr>
        <w:pStyle w:val="ListBullet"/>
        <w:jc w:val="right"/>
        <w:bidi w:val="1"/>
      </w:pPr>
      <w:r>
        <w:t>P21.md — شمای داده و دیاگرام‌های Mermaid قابل نسخه‌بندی</w:t>
      </w:r>
    </w:p>
    <w:p>
      <w:pPr>
        <w:pStyle w:val="ListBullet"/>
        <w:jc w:val="right"/>
        <w:bidi w:val="1"/>
      </w:pPr>
      <w:r>
        <w:t>P22.sql — DDL PostgreSQL، ایندکس‌ها، Viewها و پرس‌وجوهای پذیرش</w:t>
      </w:r>
    </w:p>
    <w:p>
      <w:pPr>
        <w:pStyle w:val="ListBullet"/>
        <w:jc w:val="right"/>
        <w:bidi w:val="1"/>
      </w:pPr>
      <w:r>
        <w:t>P23.txt — نسخه متنی P22.sql برای مشاهده سریع</w:t>
      </w:r>
    </w:p>
    <w:p>
      <w:pPr>
        <w:pStyle w:val="ListBullet"/>
        <w:jc w:val="right"/>
        <w:bidi w:val="1"/>
      </w:pPr>
      <w:r>
        <w:t>ISO/IEC 25010، ISO 27001، OWASP ASVS، PostgreSQL Documentation، REST API Design Guidelines</w:t>
      </w:r>
    </w:p>
    <w:p>
      <w:pPr>
        <w:spacing w:after="140"/>
        <w:jc w:val="right"/>
        <w:bidi w:val="1"/>
      </w:pPr>
      <w:r>
        <w:rPr>
          <w:b/>
        </w:rPr>
        <w:t>پایان سند.</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 xml:space="preserve">P2 | نسخه 1.0 | صفحه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sz w:val="18"/>
      </w:rPr>
      <w:t>سامانه مدیریت داوطلبان بحران | سند فاز دوم — طراحی داده و معماری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0B5E8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B Nazanin" w:hAnsi="B Nazanin" w:eastAsia="B Nazanin"/>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