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  <w:bidi w:val="1"/>
      </w:pPr>
      <w:r>
        <w:t>سند معماری اجرایی، قرارداد API و بسته توسعه</w:t>
      </w:r>
    </w:p>
    <w:p>
      <w:pPr>
        <w:jc w:val="center"/>
        <w:bidi w:val="1"/>
      </w:pPr>
      <w:r>
        <w:rPr>
          <w:color w:val="1D4ED8"/>
          <w:sz w:val="36"/>
        </w:rPr>
        <w:t>فاز سوم سامانه مدیریت داوطلبان بحران (پناه)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مقدار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مشخصه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P3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شناسه سند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1.0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نسخه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1405/04/26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تاریخ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API، بک‌اند، امنیت، مکان و داشبورد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دامنه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تیم توسعه و کارفرما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مخاطبان</w:t>
            </w:r>
          </w:p>
        </w:tc>
      </w:tr>
    </w:tbl>
    <w:p/>
    <w:p>
      <w:pPr>
        <w:spacing w:after="140"/>
        <w:jc w:val="right"/>
        <w:bidi w:val="1"/>
      </w:pPr>
      <w:r>
        <w:rPr>
          <w:b w:val="0"/>
        </w:rPr>
        <w:t>این سند، نقشه اجرایی ساخت نسخه اولیه قابل استفاده سامانه و مبنای قرارداد مشترک تیم‌های بک‌اند، فرانت‌اند، آزمون، عملیات و کارفرما است.</w:t>
      </w:r>
    </w:p>
    <w:p>
      <w:r>
        <w:br w:type="page"/>
      </w:r>
    </w:p>
    <w:p>
      <w:pPr>
        <w:pStyle w:val="Heading1"/>
        <w:jc w:val="right"/>
        <w:bidi w:val="1"/>
      </w:pPr>
      <w:r>
        <w:t>فهرست مطالب</w:t>
      </w:r>
    </w:p>
    <w:p>
      <w:pPr>
        <w:jc w:val="right"/>
        <w:bidi w:val="1"/>
      </w:pPr>
      <w:r>
        <w:fldChar w:fldCharType="begin"/>
        <w:instrText xml:space="preserve"> TOC \o "1-3" \h \z \u </w:instrText>
        <w:fldChar w:fldCharType="end"/>
      </w:r>
    </w:p>
    <w:p>
      <w:r>
        <w:br w:type="page"/>
      </w:r>
    </w:p>
    <w:p>
      <w:pPr>
        <w:pStyle w:val="Heading1"/>
        <w:jc w:val="right"/>
        <w:bidi w:val="1"/>
      </w:pPr>
      <w:r>
        <w:t>1. کنترل سند، تصمیم معماری و دامنه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شرح</w:t>
            </w:r>
          </w:p>
        </w:tc>
        <w:tc>
          <w:tcPr>
            <w:tcW w:type="dxa" w:w="3324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نسخه</w:t>
            </w:r>
          </w:p>
        </w:tc>
        <w:tc>
          <w:tcPr>
            <w:tcW w:type="dxa" w:w="3324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تاریخ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right"/>
              <w:bidi w:val="1"/>
            </w:pPr>
            <w:r>
              <w:t>ایجاد نخستین نسخه معماری اجرایی و قرارداد API</w:t>
            </w:r>
          </w:p>
        </w:tc>
        <w:tc>
          <w:tcPr>
            <w:tcW w:type="dxa" w:w="3324"/>
            <w:vAlign w:val="center"/>
          </w:tcPr>
          <w:p>
            <w:pPr>
              <w:jc w:val="right"/>
              <w:bidi w:val="1"/>
            </w:pPr>
            <w:r>
              <w:t>1.0</w:t>
            </w:r>
          </w:p>
        </w:tc>
        <w:tc>
          <w:tcPr>
            <w:tcW w:type="dxa" w:w="3324"/>
            <w:vAlign w:val="center"/>
          </w:tcPr>
          <w:p>
            <w:pPr>
              <w:jc w:val="right"/>
              <w:bidi w:val="1"/>
            </w:pPr>
            <w:r>
              <w:t>1405/04/26</w:t>
            </w:r>
          </w:p>
        </w:tc>
      </w:tr>
    </w:tbl>
    <w:p/>
    <w:p>
      <w:pPr>
        <w:spacing w:after="140"/>
        <w:jc w:val="right"/>
        <w:bidi w:val="1"/>
      </w:pPr>
      <w:r>
        <w:rPr>
          <w:b w:val="0"/>
        </w:rPr>
        <w:t>درخواست فاز سوم، FastAPI، SQLAlchemy، Alembic، PostGIS، React، Tailwind و shadcn/ui را به‌عنوان پشته هدف معرفی می‌کند. پیاده‌سازی موجود در مخزن از Django REST Framework و React/MUI استفاده می‌کند. ازاین‌رو، این سند معماری هدف را تعریف می‌کند و نباید آن را تأیید تبدیل انجام‌شده کد فعلی تلقی کرد.</w:t>
      </w:r>
    </w:p>
    <w:p>
      <w:pPr>
        <w:pStyle w:val="ListBullet"/>
        <w:jc w:val="right"/>
        <w:bidi w:val="1"/>
      </w:pPr>
      <w:r>
        <w:t>خروجی هدف: API عملیاتی، داشبورد نقش‌محور، امنیت OTP/JWT/RBAC، منطق تخصیص و بسته Docker.</w:t>
      </w:r>
    </w:p>
    <w:p>
      <w:pPr>
        <w:pStyle w:val="ListBullet"/>
        <w:jc w:val="right"/>
        <w:bidi w:val="1"/>
      </w:pPr>
      <w:r>
        <w:t>مرزها: داده‌های عملیاتی و قراردادها باید بدون شکستن کاربران فعلی قابل انتقال باشند.</w:t>
      </w:r>
    </w:p>
    <w:p>
      <w:pPr>
        <w:pStyle w:val="ListBullet"/>
        <w:jc w:val="right"/>
        <w:bidi w:val="1"/>
      </w:pPr>
      <w:r>
        <w:t>اصل حاکم: هیچ دو سازوکار migration نباید هم‌زمان مالک تغییر یک جدول تولیدی باشند.</w:t>
      </w:r>
    </w:p>
    <w:p>
      <w:pPr>
        <w:pStyle w:val="Heading1"/>
        <w:jc w:val="right"/>
        <w:bidi w:val="1"/>
      </w:pPr>
      <w:r>
        <w:t>2. معماری هدف و مرزبندی لایه‌ها</w:t>
      </w:r>
    </w:p>
    <w:p>
      <w:pPr>
        <w:spacing w:after="140"/>
        <w:jc w:val="right"/>
        <w:bidi w:val="1"/>
      </w:pPr>
      <w:r>
        <w:rPr>
          <w:b w:val="0"/>
        </w:rPr>
        <w:t>معماری API-first از لایه ارائه مستقل است. Router فقط پروتکل HTTP، احراز هویت و تبدیل DTO را انجام می‌دهد؛ Service قواعد کاربردی و مرز تراکنش را مالک است؛ Repository تنها به SQLAlchemy و ذخیره‌سازی وابسته است. این تفکیک تست‌پذیری و امکان تعویض راهبرد ذخیره را افزایش می‌دهد.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i/>
          <w:sz w:val="20"/>
        </w:rPr>
        <w:t>شکل — معماری هدف کانتینری؛ تمام برچسب‌های داخل تصویر انگلیسی هستند.</w:t>
      </w:r>
    </w:p>
    <w:p>
      <w:pPr>
        <w:pStyle w:val="Heading2"/>
        <w:jc w:val="right"/>
        <w:bidi w:val="1"/>
      </w:pPr>
      <w:r>
        <w:t>مسئولیت سرویس‌ها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نمونه مسئولیت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لایه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Route، dependency injection، schema validation، status code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API Router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حالت‌های مجاز مأموریت، OTP، RBAC و امتیازدهی تخصیص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Domain / Service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Query، قفل سطری، flush و persistence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Repository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ORM mapping و Alembic revisions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Data Access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ارسال اعلان با retry و idempotency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Worker</w:t>
            </w:r>
          </w:p>
        </w:tc>
      </w:tr>
    </w:tbl>
    <w:p/>
    <w:p>
      <w:pPr>
        <w:pStyle w:val="Heading1"/>
        <w:jc w:val="right"/>
        <w:bidi w:val="1"/>
      </w:pPr>
      <w:r>
        <w:t>3. قرارداد داده و استاندارد API</w:t>
      </w:r>
    </w:p>
    <w:p>
      <w:pPr>
        <w:spacing w:after="140"/>
        <w:jc w:val="right"/>
        <w:bidi w:val="1"/>
      </w:pPr>
      <w:r>
        <w:rPr>
          <w:b w:val="0"/>
        </w:rPr>
        <w:t>تمام endpointها زیر /api/v1 قرار می‌گیرند. تغییر افزایشی و سازگار در v1 ممکن است؛ هر تغییر ناسازگار، حذف فیلد، تغییر معنای وضعیت یا رفتار امنیتی نیازمند v2 و بازه deprecation است. OpenAPI همان مرجع قابل تولید برای Swagger UI، SDK و contract test خواهد بود.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0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i/>
          <w:sz w:val="20"/>
        </w:rPr>
        <w:t>شکل — چرخه استاندارد هر درخواست API و کنترل‌های مشترک.</w:t>
      </w:r>
    </w:p>
    <w:p>
      <w:pPr>
        <w:pStyle w:val="Heading2"/>
        <w:jc w:val="right"/>
        <w:bidi w:val="1"/>
      </w:pPr>
      <w:r>
        <w:t>قواعد Request و Response</w:t>
      </w:r>
    </w:p>
    <w:p>
      <w:pPr>
        <w:pStyle w:val="ListBullet"/>
        <w:jc w:val="right"/>
        <w:bidi w:val="1"/>
      </w:pPr>
      <w:r>
        <w:t>Content-Type درخواست‌ها application/json است؛ فایل‌ها فقط از multipart/form-data و با سقف اندازه مشخص پذیرفته می‌شوند.</w:t>
      </w:r>
    </w:p>
    <w:p>
      <w:pPr>
        <w:pStyle w:val="ListBullet"/>
        <w:jc w:val="right"/>
        <w:bidi w:val="1"/>
      </w:pPr>
      <w:r>
        <w:t>شناسه‌ها UUID هستند و زمان‌ها ISO-8601 با timezone؛ تاریخ‌های محلی فقط در لایه ارائه تبدیل می‌شوند.</w:t>
      </w:r>
    </w:p>
    <w:p>
      <w:pPr>
        <w:pStyle w:val="ListBullet"/>
        <w:jc w:val="right"/>
        <w:bidi w:val="1"/>
      </w:pPr>
      <w:r>
        <w:t>لیست‌ها data، meta و links دارند. page پیش‌فرض 1، page_size پیش‌فرض 20 و حداکثر 100 است.</w:t>
      </w:r>
    </w:p>
    <w:p>
      <w:pPr>
        <w:pStyle w:val="ListBullet"/>
        <w:jc w:val="right"/>
        <w:bidi w:val="1"/>
      </w:pPr>
      <w:r>
        <w:t>فیلترها به شکل filter[status] و بازه‌ها به شکل filter[start_at_gte] هستند. sort با -created_at برای نزولی نوشته می‌شود.</w:t>
      </w:r>
    </w:p>
    <w:p>
      <w:pPr>
        <w:pStyle w:val="ListBullet"/>
        <w:jc w:val="right"/>
        <w:bidi w:val="1"/>
      </w:pPr>
      <w:r>
        <w:t>Request-ID ورودی پذیرفته یا تولید می‌شود و در پاسخ/لاگ/خطا بازگردانده می‌شود.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کاربرد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کد HTTP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ایجاد موفق منبع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201 Created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درخواست معتبر و پردازش‌شده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200 OK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نبود یا انقضای توکن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401 Unauthorized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نقش یا مالکیت ناکافی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403 Forbidden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منبع ناموجود یا پنهان‌شده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404 Not Found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تعارض درخواست تکراری یا ظرفیت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409 Conflict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اعتبارسنجی ساختار/فیلد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422 Unprocessable Entity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محدودیت نرخ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429 Too Many Requests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خطای پیش‌بینی‌نشده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500 با شناسه پیگیری، بدون افشای جزئیات</w:t>
            </w:r>
          </w:p>
        </w:tc>
      </w:tr>
    </w:tbl>
    <w:p/>
    <w:p>
      <w:pPr>
        <w:pStyle w:val="Heading2"/>
        <w:jc w:val="right"/>
        <w:bidi w:val="1"/>
      </w:pPr>
      <w:r>
        <w:t>Endpointهای پایه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نمونه Endpoint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عملیات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POST /v1/auth/otp/request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درخواست چالش OTP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POST /v1/auth/otp/verify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اعتبارسنجی OTP و صدور token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GET, POST /v1/volunteers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فهرست/ایجاد داوطلب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GET /v1/volunteers/nearby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جست‌وجوی مکانی محدودشده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GET, POST /v1/missions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فهرست/ایجاد مأموریت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POST /v1/missions/{id}/apply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ثبت درخواست یکتا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POST /v1/applications/{id}/approve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تأیید تراکنشی و ایجاد تخصیص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GET, POST /v1/missions/{id}/shifts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مدیریت شیفت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GET, POST /v1/missions/{id}/reports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گزارش مأموریت</w:t>
            </w:r>
          </w:p>
        </w:tc>
      </w:tr>
    </w:tbl>
    <w:p/>
    <w:p>
      <w:pPr>
        <w:pStyle w:val="Heading1"/>
        <w:jc w:val="right"/>
        <w:bidi w:val="1"/>
      </w:pPr>
      <w:r>
        <w:t>4. بک‌اند FastAPI، SQLAlchemy و Alembic</w:t>
      </w:r>
    </w:p>
    <w:p>
      <w:pPr>
        <w:spacing w:after="140"/>
        <w:jc w:val="right"/>
        <w:bidi w:val="1"/>
      </w:pPr>
      <w:r>
        <w:rPr>
          <w:b w:val="0"/>
        </w:rPr>
        <w:t>مدل‌های SQLAlchemy باید از مدل‌های Pydantic جدا بمانند. DTO خروجی هرگز فیلدهای داخلی مانند password_hash، OTP hash، refresh token یا داده پزشکی خارج از سطح مجاز را نشت نمی‌دهد. Unit of Work تراکنش تغییرهای چندجدولی مانند تأیید درخواست را کنترل می‌کند.</w:t>
      </w:r>
    </w:p>
    <w:p>
      <w:pPr>
        <w:pStyle w:val="Heading2"/>
        <w:jc w:val="right"/>
        <w:bidi w:val="1"/>
      </w:pPr>
      <w:r>
        <w:t>Repository و Service Layer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قاعده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پیامد اجرایی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Router فاقد منطق کسب‌وکار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تست واحد سرویس بدون HTTP ممکن می‌شود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Repository فاقد تصمیم مجوز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کنترل نقش در policy/service یکپارچه می‌ماند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تراکنش در service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عملیات approve شامل application، capacity، assignment و outbox اتمیک است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Idempotency key در عملیات حساس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retry شبکه درخواست تکراری ایجاد نمی‌کند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Alembic revision کوچک و قابل بازبینی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استقرار و بازگشت کنترل‌شده می‌شود</w:t>
            </w:r>
          </w:p>
        </w:tc>
      </w:tr>
    </w:tbl>
    <w:p/>
    <w:p>
      <w:pPr>
        <w:spacing w:after="140"/>
        <w:jc w:val="right"/>
        <w:bidi w:val="1"/>
      </w:pPr>
      <w:r>
        <w:rPr>
          <w:b w:val="0"/>
        </w:rPr>
        <w:t>برای تغییرهای خطرناک schema، الگوی expand/contract پیشنهاد می‌شود: ابتدا ستون/جدول جدید سازگار افزوده شود؛ کد دوگانه‌خوان/دوگانه‌نویس موقت مستقر شود؛ داده backfill شود؛ پس از اندازه‌گیری و پایان دوره سازگاری، ساختار قدیمی حذف شود.</w:t>
      </w:r>
    </w:p>
    <w:p>
      <w:pPr>
        <w:pStyle w:val="Heading1"/>
        <w:jc w:val="right"/>
        <w:bidi w:val="1"/>
      </w:pPr>
      <w:r>
        <w:t>5. امنیت: OTP، JWT، RBAC و کنترل‌های پایه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136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i/>
          <w:sz w:val="20"/>
        </w:rPr>
        <w:t>شکل — لایه‌های کنترل هویت، مجوز، ورودی، نرخ و ممیزی.</w:t>
      </w:r>
    </w:p>
    <w:p>
      <w:pPr>
        <w:pStyle w:val="Heading2"/>
        <w:jc w:val="right"/>
        <w:bidi w:val="1"/>
      </w:pPr>
      <w:r>
        <w:t>جریان هویت</w:t>
      </w:r>
    </w:p>
    <w:p>
      <w:pPr>
        <w:spacing w:after="140"/>
        <w:jc w:val="right"/>
        <w:bidi w:val="1"/>
      </w:pPr>
      <w:r>
        <w:rPr>
          <w:b w:val="0"/>
        </w:rPr>
        <w:t>OTP باید فقط به‌صورت hash ذخیره شود، زمان انقضای کوتاه داشته باشد، بعد از مصرف invalid شود و شمارش تلاش/ارسال آن با Redis محدود گردد. پس از تأیید، access token کوتاه‌عمر و refresh token چرخشی صادر می‌شود. HS256 تنها با secret تصادفی بلند در secret manager، iss/aud/exp/jti و برنامه چرخش کلید قابل استفاده است.</w:t>
      </w:r>
    </w:p>
    <w:p>
      <w:pPr>
        <w:pStyle w:val="Heading2"/>
        <w:jc w:val="right"/>
        <w:bidi w:val="1"/>
      </w:pPr>
      <w:r>
        <w:t>سیاست RBAC و مالکیت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نمونه مجوز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نقش/قاعده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ایجاد یا بستن رخداد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Admin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ویرایش مأموریت و بررسی درخواست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Coordinator مالک مأموریت یا Admin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ثبت درخواست برای مأموریت منتشرشده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Volunteer فعال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مشاهده اطلاعات حساس داوطلب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Coordinator مرتبط با حداقل فیلد لازم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مشاهده audit کامل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Admin یا نقش ممیزی مصوب</w:t>
            </w:r>
          </w:p>
        </w:tc>
      </w:tr>
    </w:tbl>
    <w:p/>
    <w:p>
      <w:pPr>
        <w:pStyle w:val="ListBullet"/>
        <w:jc w:val="right"/>
        <w:bidi w:val="1"/>
      </w:pPr>
      <w:r>
        <w:t>bcrypt با cost قابل تنظیم و rehash تدریجی استفاده می‌شود.</w:t>
      </w:r>
    </w:p>
    <w:p>
      <w:pPr>
        <w:pStyle w:val="ListBullet"/>
        <w:jc w:val="right"/>
        <w:bidi w:val="1"/>
      </w:pPr>
      <w:r>
        <w:t>Rate limit برای OTP، login، refresh، upload و search از یک آستانه عمومی سخت‌گیرانه‌تر است.</w:t>
      </w:r>
    </w:p>
    <w:p>
      <w:pPr>
        <w:pStyle w:val="ListBullet"/>
        <w:jc w:val="right"/>
        <w:bidi w:val="1"/>
      </w:pPr>
      <w:r>
        <w:t>CORS allow-list، security headers، validation طول/نوع/محدوده، و جلوگیری از IDOR اجباری است.</w:t>
      </w:r>
    </w:p>
    <w:p>
      <w:pPr>
        <w:pStyle w:val="ListBullet"/>
        <w:jc w:val="right"/>
        <w:bidi w:val="1"/>
      </w:pPr>
      <w:r>
        <w:t>خطاها به کاربر پیام امن می‌دهند اما جزئیات فنی با request_id در لاگ نگهداری می‌شود.</w:t>
      </w:r>
    </w:p>
    <w:p>
      <w:pPr>
        <w:pStyle w:val="Heading1"/>
        <w:jc w:val="right"/>
        <w:bidi w:val="1"/>
      </w:pPr>
      <w:r>
        <w:t>6. قابلیت مکانی و منطق تخصیص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136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assig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i/>
          <w:sz w:val="20"/>
        </w:rPr>
        <w:t>شکل — جست‌وجوی PostGIS و امتیازدهی شفاف پیشنهاد تخصیص.</w:t>
      </w:r>
    </w:p>
    <w:p>
      <w:pPr>
        <w:spacing w:after="140"/>
        <w:jc w:val="right"/>
        <w:bidi w:val="1"/>
      </w:pPr>
      <w:r>
        <w:rPr>
          <w:b w:val="0"/>
        </w:rPr>
        <w:t>PostGIS برای search دقیق بر مبنای geography(Point, 4326) یا محدوده عملیاتی استفاده می‌شود. ستون location_geog با GIST index، موقعیت داوطلب با timestamp و وضعیت رضایت، و queryهای ST_DWithin/KNN فقط پس از کنترل مجوز و هدف پردازش قابل استفاده‌اند.</w:t>
      </w:r>
    </w:p>
    <w:p>
      <w:pPr>
        <w:pStyle w:val="Heading2"/>
        <w:jc w:val="right"/>
        <w:bidi w:val="1"/>
      </w:pPr>
      <w:r>
        <w:t>الگوریتم اولیه تخصیص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وزن اولیه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عامل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45%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تطابق مهارت‌های الزامی و ترجیحی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25%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آمادگی و هم‌پوشانی زمانی با شیفت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20%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فاصله نرمال‌شده از محدوده مأموریت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10%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اولویت عملیاتی/تجربه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قید سخت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فعال بودن داوطلب، ظرفیت، رضایت مکانی و نبود تخصیص متعارض</w:t>
            </w:r>
          </w:p>
        </w:tc>
      </w:tr>
    </w:tbl>
    <w:p/>
    <w:p>
      <w:pPr>
        <w:spacing w:after="140"/>
        <w:jc w:val="right"/>
        <w:bidi w:val="1"/>
      </w:pPr>
      <w:r>
        <w:rPr>
          <w:b w:val="0"/>
        </w:rPr>
        <w:t>خروجی الگوریتم، پیشنهاد رتبه‌بندی‌شده و عوامل امتیاز است؛ تصمیم نهایی برای عملیات بحرانی باید در اختیار هماهنگ‌کننده بماند. هر انتخاب یا override باید در audit log ثبت شود.</w:t>
      </w:r>
    </w:p>
    <w:p>
      <w:pPr>
        <w:pStyle w:val="Heading1"/>
        <w:jc w:val="right"/>
        <w:bidi w:val="1"/>
      </w:pPr>
      <w:r>
        <w:t>7. فرانت‌اند: داشبوردها و جریان‌های بحرانی</w:t>
      </w:r>
    </w:p>
    <w:p>
      <w:pPr>
        <w:spacing w:after="140"/>
        <w:jc w:val="right"/>
        <w:bidi w:val="1"/>
      </w:pPr>
      <w:r>
        <w:rPr>
          <w:b w:val="0"/>
        </w:rPr>
        <w:t>رابط کاربری بحران باید سریع، قابل فهم در فشار زمانی و مقاوم در برابر شبکه ضعیف باشد. Tailwind و shadcn/ui اجزای قابل ترکیب را فراهم می‌کنند؛ TanStack Query فقط server state و cache را مدیریت می‌کند؛ Zustand برای وضعیت کوتاه‌عمر UI، فیلترهای محلی و draftهای محدود است.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جریان اصلی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پنل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مدیریت کاربران، نقش، رخداد، سیاست و گزارش سراسری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Admin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صندوق درخواست، ظرفیت، تخصیص، شیفت و گزارش مأموریت‌های خود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Coordinator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تکمیل پروفایل/مهارت، مشاهده مأموریت، درخواست، پاسخ به تخصیص و گزارش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Volunteer</w:t>
            </w:r>
          </w:p>
        </w:tc>
      </w:tr>
    </w:tbl>
    <w:p/>
    <w:p>
      <w:pPr>
        <w:pStyle w:val="ListBullet"/>
        <w:jc w:val="right"/>
        <w:bidi w:val="1"/>
      </w:pPr>
      <w:r>
        <w:t>نمایش وضعیت‌ها با متن، آیکون و رنگ؛ رنگ هرگز تنها حامل معنی نیست.</w:t>
      </w:r>
    </w:p>
    <w:p>
      <w:pPr>
        <w:pStyle w:val="ListBullet"/>
        <w:jc w:val="right"/>
        <w:bidi w:val="1"/>
      </w:pPr>
      <w:r>
        <w:t>تأییدهای مهم شامل نام مأموریت، اثر تغییر و امکان لغو امن‌اند.</w:t>
      </w:r>
    </w:p>
    <w:p>
      <w:pPr>
        <w:pStyle w:val="ListBullet"/>
        <w:jc w:val="right"/>
        <w:bidi w:val="1"/>
      </w:pPr>
      <w:r>
        <w:t>خطای شبکه قابل تشخیص، retry کنترل‌شده و draft محلی برای فرم‌های طولانی دارد.</w:t>
      </w:r>
    </w:p>
    <w:p>
      <w:pPr>
        <w:pStyle w:val="ListBullet"/>
        <w:jc w:val="right"/>
        <w:bidi w:val="1"/>
      </w:pPr>
      <w:r>
        <w:t>دسترسی موبایل‌محور، RTL، خوانایی بالا و حداقل کلیک برای عملیات اضطراری الزام است.</w:t>
      </w:r>
    </w:p>
    <w:p>
      <w:pPr>
        <w:pStyle w:val="Heading1"/>
        <w:jc w:val="right"/>
        <w:bidi w:val="1"/>
      </w:pPr>
      <w:r>
        <w:t>8. تست‌پذیری، مشاهده‌پذیری و کیفیت فنی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i/>
          <w:sz w:val="20"/>
        </w:rPr>
        <w:t>شکل — دروازه‌های کیفیت از تغییر کد تا بسته استقرار.</w:t>
      </w:r>
    </w:p>
    <w:p>
      <w:pPr>
        <w:pStyle w:val="Heading2"/>
        <w:jc w:val="right"/>
        <w:bidi w:val="1"/>
      </w:pPr>
      <w:r>
        <w:t>راهبرد آزمون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نمونه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سطح آزمون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محاسبه score، قوانین انتقال وضعیت و policy نقش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Unit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تعارض unique application، rollback تراکنش و query مکانی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Integration با PostgreSQL/PostGIS و Redis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نمونه OpenAPI، envelope خطا و backward compatibility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Contract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ثبت‌نام تا تأیید مأموریت و اعلان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End-to-End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انقضای token، rate limit، IDOR و input fuzzing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Security</w:t>
            </w:r>
          </w:p>
        </w:tc>
      </w:tr>
    </w:tbl>
    <w:p/>
    <w:p>
      <w:pPr>
        <w:spacing w:after="140"/>
        <w:jc w:val="right"/>
        <w:bidi w:val="1"/>
      </w:pPr>
      <w:r>
        <w:rPr>
          <w:b w:val="0"/>
        </w:rPr>
        <w:t>لاگ‌ها باید structured JSON و دارای request_id، actor_id، route، latency و نتیجه باشند. PII و token در log ممنوع است. معیارها شامل نرخ خطا، زمان پاسخ، backlog صف، نرخ OTP، query کند و درصد موفقیت اعلان هستند.</w:t>
      </w:r>
    </w:p>
    <w:p>
      <w:pPr>
        <w:pStyle w:val="Heading1"/>
        <w:jc w:val="right"/>
        <w:bidi w:val="1"/>
      </w:pPr>
      <w:r>
        <w:t>9. بسته اجرایی Docker و آماده‌سازی محیط</w:t>
      </w:r>
    </w:p>
    <w:p>
      <w:pPr>
        <w:spacing w:after="140"/>
        <w:jc w:val="right"/>
        <w:bidi w:val="1"/>
      </w:pPr>
      <w:r>
        <w:rPr>
          <w:b w:val="0"/>
        </w:rPr>
        <w:t>Docker Compose محیط یکسان برای API، worker، PostgreSQL 17 با PostGIS، Redis، frontend و Nginx فراهم می‌کند. .env.example فقط نام متغیر و مقدار غیرحساس دارد. migrationها در pipeline کنترل‌شده اجرا می‌شوند؛ اجرای خودکار schema migration در production بدون gate عملیاتی توصیه نمی‌شود.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معیار پذیرش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قلم تحویلی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Swagger/OpenAPI دارای مثال و کد خطای پایدار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مستند 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اجرای یک فرمانی محیط توسعه و seed idempotent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Docker Compose + راهنما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تغییر schema نسخه‌بندی‌شده و آزمون‌شده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Alembic migrations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سناریوی درخواست تا تخصیص قابل تست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API و تست‌های integration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پنل‌های نقش‌محور با مسیرهای اصلی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React dashboards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کنترل OTP/JWT/RBAC و گزارش ممیزی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امنیت پایه</w:t>
            </w:r>
          </w:p>
        </w:tc>
      </w:tr>
    </w:tbl>
    <w:p/>
    <w:p>
      <w:pPr>
        <w:pStyle w:val="Heading1"/>
        <w:jc w:val="right"/>
        <w:bidi w:val="1"/>
      </w:pPr>
      <w:r>
        <w:t>10. برنامه اجرا، ریسک‌ها و معیار پذیرش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خروجی</w:t>
            </w:r>
          </w:p>
        </w:tc>
        <w:tc>
          <w:tcPr>
            <w:tcW w:type="dxa" w:w="4986"/>
            <w:shd w:fill="0B5E8E"/>
            <w:vAlign w:val="center"/>
          </w:tcPr>
          <w:p>
            <w:pPr>
              <w:jc w:val="center"/>
              <w:bidi w:val="1"/>
            </w:pPr>
            <w:r>
              <w:rPr>
                <w:b/>
                <w:color w:val="FFFFFF"/>
              </w:rPr>
              <w:t>مرحله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تثبیت OpenAPI، مدل داده هدف و مرزبندی migration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۱. طراحی قرارداد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هویت، RBAC، skeleton سرویس و migrations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۲. زیرساخت بک‌اند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داوطلب/مهارت/مأموریت/درخواست/تخصیص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۳. عملیات اصلی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PostGIS، شیفت، گزارش، اعلان و audit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۴. قابلیت‌های تکمیلی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داشبوردها، آزمون E2E، hardening و بسته توسعه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  <w:bidi w:val="1"/>
            </w:pPr>
            <w:r>
              <w:t>۵. پذیرش</w:t>
            </w:r>
          </w:p>
        </w:tc>
      </w:tr>
    </w:tbl>
    <w:p/>
    <w:p>
      <w:pPr>
        <w:pStyle w:val="ListBullet"/>
        <w:jc w:val="right"/>
        <w:bidi w:val="1"/>
      </w:pPr>
      <w:r>
        <w:t>ریسک اصلی: دو مالک schema (Django migration و Alembic). راهکار: مالکیت واحد جدول یا مرز سرویس جدا.</w:t>
      </w:r>
    </w:p>
    <w:p>
      <w:pPr>
        <w:pStyle w:val="ListBullet"/>
        <w:jc w:val="right"/>
        <w:bidi w:val="1"/>
      </w:pPr>
      <w:r>
        <w:t>ریسک اصلی: اتکا به تخصیص خودکار. راهکار: پیشنهاد explainable با تأیید انسانی.</w:t>
      </w:r>
    </w:p>
    <w:p>
      <w:pPr>
        <w:pStyle w:val="ListBullet"/>
        <w:jc w:val="right"/>
        <w:bidi w:val="1"/>
      </w:pPr>
      <w:r>
        <w:t>ریسک اصلی: نشت مکان و PII. راهکار: رضایت، حداقل‌سازی، retention و RBAC.</w:t>
      </w:r>
    </w:p>
    <w:p>
      <w:pPr>
        <w:pStyle w:val="ListBullet"/>
        <w:jc w:val="right"/>
        <w:bidi w:val="1"/>
      </w:pPr>
      <w:r>
        <w:t>ریسک اصلی: تناقض API. راهکار: OpenAPI contract testing و version policy.</w:t>
      </w:r>
    </w:p>
    <w:p>
      <w:pPr>
        <w:pStyle w:val="Heading1"/>
        <w:jc w:val="right"/>
        <w:bidi w:val="1"/>
      </w:pPr>
      <w:r>
        <w:t>11. مراجع و اسناد همراه</w:t>
      </w:r>
    </w:p>
    <w:p>
      <w:pPr>
        <w:pStyle w:val="ListBullet"/>
        <w:jc w:val="right"/>
        <w:bidi w:val="1"/>
      </w:pPr>
      <w:r>
        <w:t>P31.md — معماری فنی، قراردادها، دیاگرام‌های Mermaid و برنامه مهاجرت.</w:t>
      </w:r>
    </w:p>
    <w:p>
      <w:pPr>
        <w:pStyle w:val="ListBullet"/>
        <w:jc w:val="right"/>
        <w:bidi w:val="1"/>
      </w:pPr>
      <w:r>
        <w:t>OpenAPI Specification 3.1، FastAPI، SQLAlchemy 2.0، Alembic، PostGIS Documentation.</w:t>
      </w:r>
    </w:p>
    <w:p>
      <w:pPr>
        <w:pStyle w:val="ListBullet"/>
        <w:jc w:val="right"/>
        <w:bidi w:val="1"/>
      </w:pPr>
      <w:r>
        <w:t>OWASP ASVS و OWASP API Security Top 10.</w:t>
      </w:r>
    </w:p>
    <w:p>
      <w:pPr>
        <w:pStyle w:val="ListBullet"/>
        <w:jc w:val="right"/>
        <w:bidi w:val="1"/>
      </w:pPr>
      <w:r>
        <w:t>RFC 7807 Problem Details، JWT RFC 7519، ISO/IEC 27001 و ISO/IEC 25010.</w:t>
      </w:r>
    </w:p>
    <w:p>
      <w:pPr>
        <w:spacing w:after="140"/>
        <w:jc w:val="right"/>
        <w:bidi w:val="1"/>
      </w:pPr>
      <w:r>
        <w:rPr>
          <w:b/>
        </w:rPr>
        <w:t>پایان سند.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 xml:space="preserve">P3 | نسخه 1.0 | صفحه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sz w:val="18"/>
      </w:rPr>
      <w:t>سامانه مدیریت داوطلبان بحران | سند فاز سوم — API و توسعه اجرایی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eastAsia="B Nazani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 w:eastAsia="B Nazanin"/>
      <w:b/>
      <w:bCs/>
      <w:color w:val="0B5E8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 w:eastAsia="B Nazanin"/>
      <w:b/>
      <w:bCs/>
      <w:color w:val="1D4ED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B Nazanin" w:hAnsi="B Nazanin" w:eastAsia="B Nazanin"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