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Assumptions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PANAH-ASM-001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Statement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Operators have modern browsers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SMTP or Mailhog available for email channel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Docker Engine available on target hosts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National ID uniqueness is enforced at application level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Coordinators are trusted staff identities</w:t>
      </w:r>
    </w:p>
    <w:p>
      <w:pPr>
        <w:pStyle w:val="Heading1"/>
      </w:pPr>
      <w:r>
        <w:t>4. Measurement</w:t>
      </w:r>
    </w:p>
    <w:p>
      <w:r>
        <w:rPr>
          <w:rFonts w:ascii="Calibri" w:hAnsi="Calibri" w:eastAsia="Calibri"/>
          <w:b w:val="0"/>
          <w:sz w:val="22"/>
        </w:rPr>
        <w:t>Each item is verified through seeded end-to-end scenarios and API/UI checks against the running Docker stack.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PANAH-ASM-001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