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Use Case Diagrams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PANAH-UCD-001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Actors and Use Cases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Navigatio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Role navigation as use-case proxy map</w:t>
      </w:r>
    </w:p>
    <w:p>
      <w:r>
        <w:rPr>
          <w:rFonts w:ascii="Calibri" w:hAnsi="Calibri" w:eastAsia="Calibri"/>
          <w:b w:val="0"/>
          <w:sz w:val="22"/>
        </w:rPr>
        <w:t>Primary actors: Volunteer, Coordinator, Admin. Supporting: Email system, Database.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Register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Manage disasters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Manage missions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Review applications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Manage tickets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View audit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PANAH-UCD-001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