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Responsive Strategy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PANAH-UI-RS-001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Responsive Strategy</w:t>
      </w:r>
    </w:p>
    <w:p>
      <w:r>
        <w:rPr>
          <w:rFonts w:ascii="Calibri" w:hAnsi="Calibri" w:eastAsia="Calibri"/>
          <w:b w:val="0"/>
          <w:sz w:val="22"/>
        </w:rPr>
        <w:t>Specification for Responsive Strategy based on frontend/src implementation (MUI + feature pages).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749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Navigation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74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color w:val="334155"/>
          <w:sz w:val="18"/>
        </w:rPr>
        <w:t>Figure 1 — Related navigation map</w:t>
      </w:r>
    </w:p>
    <w:p>
      <w:pPr>
        <w:pStyle w:val="Heading1"/>
      </w:pPr>
      <w:r>
        <w:t>4.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PANAH-UI-RS-001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