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API Integration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PANAH-FE-API-001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API Integration</w:t>
      </w:r>
    </w:p>
    <w:p>
      <w:r>
        <w:rPr>
          <w:rFonts w:ascii="Calibri" w:hAnsi="Calibri" w:eastAsia="Calibri"/>
          <w:b w:val="0"/>
          <w:sz w:val="22"/>
        </w:rPr>
        <w:t>Frontend guidance for api integration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PANAH-FE-API-001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