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State Management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PANAH-FE-SM-001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State Management</w:t>
      </w:r>
    </w:p>
    <w:p>
      <w:r>
        <w:rPr>
          <w:rFonts w:ascii="Calibri" w:hAnsi="Calibri" w:eastAsia="Calibri"/>
          <w:b w:val="0"/>
          <w:sz w:val="22"/>
        </w:rPr>
        <w:t>Frontend guidance for state management aligned with frontend/src.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PANAH-FE-SM-001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