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Password Policy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PANAH-SEC-PP-001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OWASP ASVS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Password Policy</w:t>
      </w:r>
    </w:p>
    <w:p>
      <w:r>
        <w:rPr>
          <w:rFonts w:ascii="Calibri" w:hAnsi="Calibri" w:eastAsia="Calibri"/>
          <w:b w:val="0"/>
          <w:sz w:val="22"/>
        </w:rPr>
        <w:t>Security control documentation: Password Policy.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PANAH-SEC-PP-001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