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Security Architecture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PANAH-SEC-001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OWASP ASVS 4.0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Threat Model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Threat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Mitigation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Credential stuffing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Argon2 hashing, account is_active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Token replay after logout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Redis blacklist + rotation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Privilege escalation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RBAC codenames; admin-only routes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IDOR on missions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get_for_user / staff checks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XSS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React escaping; CSP via Nginx recommended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WT_Auth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Auth security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9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2 — Authorization model</w:t>
      </w:r>
    </w:p>
    <w:p>
      <w:pPr>
        <w:pStyle w:val="Heading1"/>
      </w:pPr>
      <w:r>
        <w:t>4. ASVS Mapping (selected)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ASVS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Control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V2 Auth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JWT + password hashing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V4 Access Control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HasPermission + role seeds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V7 Error Handling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Uniform API errors without stack traces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V9 Communications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TLS termination at Nginx in prod</w:t>
            </w:r>
          </w:p>
        </w:tc>
      </w:tr>
    </w:tbl>
    <w:p/>
    <w:p>
      <w:pPr>
        <w:pStyle w:val="Heading1"/>
      </w:pPr>
      <w:r>
        <w:t>5.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Rotate secrets in .env for prod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Disable Mailhog exposure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Enable HTTPS certificates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Restrict PgAdmin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Review audit logs periodically</w:t>
      </w:r>
    </w:p>
    <w:p>
      <w:pPr>
        <w:pStyle w:val="Heading1"/>
      </w:pPr>
      <w:r>
        <w:t>6.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PANAH-SEC-001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