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Threat Model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PANAH-SEC-TM-001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OWASP ASVS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Threat Model</w:t>
      </w:r>
    </w:p>
    <w:p>
      <w:r>
        <w:rPr>
          <w:rFonts w:ascii="Calibri" w:hAnsi="Calibri" w:eastAsia="Calibri"/>
          <w:b w:val="0"/>
          <w:sz w:val="22"/>
        </w:rPr>
        <w:t>Security control documentation: Threat Model.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PANAH-SEC-TM-001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