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color w:val="0891B2"/>
          <w:sz w:val="28"/>
        </w:rPr>
        <w:t>پناه (Panah) — پلتفرم مدیریت بحران و هماهنگی داوطلبان</w:t>
      </w:r>
    </w:p>
    <w:p>
      <w:pPr>
        <w:jc w:val="center"/>
      </w:pPr>
      <w:r>
        <w:rPr>
          <w:rFonts w:ascii="Calibri" w:hAnsi="Calibri" w:eastAsia="Calibri"/>
          <w:b/>
          <w:color w:val="0F172A"/>
          <w:sz w:val="36"/>
        </w:rPr>
        <w:t>Volunteer Crisis Management Platform</w:t>
      </w:r>
    </w:p>
    <w:p>
      <w:pPr>
        <w:jc w:val="center"/>
      </w:pPr>
      <w:r>
        <w:rPr>
          <w:rFonts w:ascii="Calibri" w:hAnsi="Calibri" w:eastAsia="Calibri"/>
          <w:b/>
          <w:color w:val="1E3A5F"/>
          <w:sz w:val="44"/>
        </w:rPr>
        <w:t>Monitoring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 ID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PANAH-DEP-MON-001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Version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Date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Status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Approved for Delivery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Classification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Internal — Enterprise / Government Deliverable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Vendor / Author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Group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Standards Alignment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IEEE / ISO aligned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color w:val="64748B"/>
          <w:sz w:val="18"/>
        </w:rPr>
        <w:t>This document is derived from the production source code, configuration, and operational architecture of the Panah platform.</w:t>
      </w:r>
    </w:p>
    <w:p>
      <w:r>
        <w:br w:type="page"/>
      </w:r>
    </w:p>
    <w:p>
      <w:pPr>
        <w:pStyle w:val="Heading1"/>
      </w:pPr>
      <w:r>
        <w:t>1. Document Control</w:t>
      </w:r>
    </w:p>
    <w:p>
      <w:pPr>
        <w:pStyle w:val="Heading2"/>
      </w:pPr>
      <w:r>
        <w:t>1.1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Version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Author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Documentation Team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Initial baseline from source-of-truth codebase</w:t>
            </w:r>
          </w:p>
        </w:tc>
      </w:tr>
    </w:tbl>
    <w:p/>
    <w:p>
      <w:pPr>
        <w:pStyle w:val="Heading2"/>
      </w:pPr>
      <w:r>
        <w:t>1.2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Role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Name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Signature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Project Sponsor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Leadership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Technical Architect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Platform Architecture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Quality Assurance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QA Lead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2. 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rPr>
          <w:rFonts w:ascii="Calibri" w:hAnsi="Calibri" w:eastAsia="Calibri"/>
          <w:b w:val="0"/>
          <w:color w:val="64748B"/>
          <w:sz w:val="18"/>
        </w:rPr>
        <w:t>Note: In Microsoft Word, right-click the TOC field and select “Update Field” to refresh page numbers after opening.</w:t>
      </w:r>
    </w:p>
    <w:p>
      <w:r>
        <w:br w:type="page"/>
      </w:r>
    </w:p>
    <w:p>
      <w:pPr>
        <w:pStyle w:val="Heading1"/>
      </w:pPr>
      <w:r>
        <w:t>3. Monitoring</w:t>
      </w:r>
    </w:p>
    <w:p>
      <w:r>
        <w:rPr>
          <w:rFonts w:ascii="Calibri" w:hAnsi="Calibri" w:eastAsia="Calibri"/>
          <w:b w:val="0"/>
          <w:sz w:val="22"/>
        </w:rPr>
        <w:t>Operations document: Monitoring.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4713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_Dock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71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/>
          <w:color w:val="334155"/>
          <w:sz w:val="18"/>
        </w:rPr>
        <w:t>Figure 1 — Deployment reference</w:t>
      </w:r>
    </w:p>
    <w:p>
      <w:pPr>
        <w:pStyle w:val="Heading1"/>
      </w:pPr>
      <w:r>
        <w:t>4. References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IEEE 29148:2018 — Systems and software engineering — Life cycle processes — Requirements engineering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ISO/IEC/IEEE 42010:2022 — Software, systems and enterprise — Architecture description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UML 2.5 — Unified Modeling Language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BPMN 2.0 — Business Process Model and Notation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C4 Model — Context, Containers, Components, Code (Simon Brown)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ASVS 4.0 — Application Security Verification Standard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Top 10 (2021)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REST API Design Rulebook / OpenAPI 3 Specification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Django 5.2 Documentation / Django REST Framework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React 19 Documentation / Material UI v6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PostgreSQL 17 Documentation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Platform Source Code Repository (current workspace)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README.md and docker-compose.yml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4748B"/>
        <w:sz w:val="18"/>
      </w:rPr>
      <w:t xml:space="preserve">Internal — Enterprise / Government Deliverable  •  Investica Group  •  Page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color w:val="64748B"/>
        <w:sz w:val="18"/>
      </w:rPr>
      <w:t xml:space="preserve">  •  2026-07-16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color w:val="475569"/>
        <w:sz w:val="18"/>
      </w:rPr>
      <w:t>Volunteer Crisis Management Platform  |  PANAH-DEP-MON-001  | 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