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Monitoring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PANAH-MNT-MON-001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Monitoring Guide</w:t>
      </w:r>
    </w:p>
    <w:p>
      <w:r>
        <w:rPr>
          <w:rFonts w:ascii="Calibri" w:hAnsi="Calibri" w:eastAsia="Calibri"/>
          <w:b w:val="0"/>
          <w:sz w:val="22"/>
        </w:rPr>
        <w:t>Operational guidance: Monitoring Guide.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PANAH-MNT-MON-001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