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Project Management Pack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PANAH-PM-001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WBS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1 Project Mgmt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2 Requirements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3 Architecture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4 Backend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5 Frontend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6 Security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7 Test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8 Deploy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9 Documentation</w:t>
      </w:r>
    </w:p>
    <w:p>
      <w:pPr>
        <w:pStyle w:val="Heading1"/>
      </w:pPr>
      <w:r>
        <w:t>4.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Milestone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M1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Foundation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M2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Core ops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M3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Collab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M4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Role UX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M5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Release docs</w:t>
            </w:r>
          </w:p>
        </w:tc>
      </w:tr>
    </w:tbl>
    <w:p/>
    <w:p>
      <w:pPr>
        <w:pStyle w:val="Heading1"/>
      </w:pPr>
      <w:r>
        <w:t>5. Sprint Model</w:t>
      </w:r>
    </w:p>
    <w:p>
      <w:r>
        <w:rPr>
          <w:rFonts w:ascii="Calibri" w:hAnsi="Calibri" w:eastAsia="Calibri"/>
          <w:b w:val="0"/>
          <w:sz w:val="22"/>
        </w:rPr>
        <w:t>Two-week sprints recommended; backlog prioritized by mission-critical path.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10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Delivery_Ph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0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Gantt phases</w:t>
      </w:r>
    </w:p>
    <w:p>
      <w:pPr>
        <w:pStyle w:val="Heading1"/>
      </w:pPr>
      <w:r>
        <w:t>6. RACI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c>
          <w:tcPr>
            <w:tcW w:type="dxa" w:w="1848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Activity</w:t>
            </w:r>
          </w:p>
        </w:tc>
        <w:tc>
          <w:tcPr>
            <w:tcW w:type="dxa" w:w="1848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Sponsor</w:t>
            </w:r>
          </w:p>
        </w:tc>
        <w:tc>
          <w:tcPr>
            <w:tcW w:type="dxa" w:w="1848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Architect</w:t>
            </w:r>
          </w:p>
        </w:tc>
        <w:tc>
          <w:tcPr>
            <w:tcW w:type="dxa" w:w="1848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Dev</w:t>
            </w:r>
          </w:p>
        </w:tc>
        <w:tc>
          <w:tcPr>
            <w:tcW w:type="dxa" w:w="1848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QA</w:t>
            </w:r>
          </w:p>
        </w:tc>
      </w:tr>
      <w:tr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Scope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A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C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I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I</w:t>
            </w:r>
          </w:p>
        </w:tc>
      </w:tr>
      <w:tr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Architecture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I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A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R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C</w:t>
            </w:r>
          </w:p>
        </w:tc>
      </w:tr>
      <w:tr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Implementation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I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C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R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C</w:t>
            </w:r>
          </w:p>
        </w:tc>
      </w:tr>
      <w:tr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UAT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C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I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C</w:t>
            </w:r>
          </w:p>
        </w:tc>
        <w:tc>
          <w:tcPr>
            <w:tcW w:type="dxa" w:w="1848"/>
          </w:tcPr>
          <w:p>
            <w:r>
              <w:rPr>
                <w:rFonts w:ascii="Calibri" w:hAnsi="Calibri" w:eastAsia="Calibri"/>
                <w:b w:val="0"/>
                <w:sz w:val="20"/>
              </w:rPr>
              <w:t>A/R</w:t>
            </w:r>
          </w:p>
        </w:tc>
      </w:tr>
    </w:tbl>
    <w:p/>
    <w:p>
      <w:pPr>
        <w:pStyle w:val="Heading1"/>
      </w:pPr>
      <w:r>
        <w:t>7. Risk Matrix</w:t>
      </w:r>
    </w:p>
    <w:p>
      <w:r>
        <w:rPr>
          <w:rFonts w:ascii="Calibri" w:hAnsi="Calibri" w:eastAsia="Calibri"/>
          <w:b w:val="0"/>
          <w:sz w:val="22"/>
        </w:rPr>
        <w:t>See Risk Register; high-impact items mitigated via RBAC sync and backups.</w:t>
      </w:r>
    </w:p>
    <w:p>
      <w:pPr>
        <w:pStyle w:val="Heading1"/>
      </w:pPr>
      <w:r>
        <w:t>8. Cost Breakdown (illustrative)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Category</w:t>
            </w:r>
          </w:p>
        </w:tc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Notes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Engineering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Primary delivery cost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Infrastructure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VPS + managed DB optional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Security review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Periodic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Training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Admin/coordinator workshops</w:t>
            </w:r>
          </w:p>
        </w:tc>
      </w:tr>
    </w:tbl>
    <w:p/>
    <w:p>
      <w:pPr>
        <w:pStyle w:val="Heading1"/>
      </w:pPr>
      <w:r>
        <w:t>9. Change Management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Submit change request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Impact analysis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Sponsor approval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Implement + document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Notify users</w:t>
      </w:r>
    </w:p>
    <w:p>
      <w:pPr>
        <w:pStyle w:val="Heading1"/>
      </w:pPr>
      <w:r>
        <w:t>10.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PANAH-PM-001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