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294DF" w14:textId="77777777" w:rsidR="00CE7547" w:rsidRDefault="00000000">
      <w:pPr>
        <w:pStyle w:val="Title"/>
      </w:pPr>
      <w:r>
        <w:t>Quantitative Analysis: Jump-Diffusion Price &amp; Risk Modeling</w:t>
      </w:r>
    </w:p>
    <w:p w14:paraId="0B961465" w14:textId="77777777" w:rsidR="00CE7547" w:rsidRDefault="00000000">
      <w:r>
        <w:t>Asset: Royal Bank of Canada (RY.TO)</w:t>
      </w:r>
    </w:p>
    <w:p w14:paraId="17991107" w14:textId="77777777" w:rsidR="00CE7547" w:rsidRDefault="00000000">
      <w:r>
        <w:t>Initial Price ($S_0$): 204.12 CAD (As of 2025-10-31)</w:t>
      </w:r>
    </w:p>
    <w:p w14:paraId="6BAF1DB3" w14:textId="77777777" w:rsidR="00CE7547" w:rsidRDefault="00000000">
      <w:pPr>
        <w:pStyle w:val="Heading1"/>
      </w:pPr>
      <w:r>
        <w:t>1. Executive Summary</w:t>
      </w:r>
    </w:p>
    <w:p w14:paraId="381355C9" w14:textId="77777777" w:rsidR="00CE7547" w:rsidRDefault="00000000">
      <w:r>
        <w:t>This report compares the Geometric Brownian Motion (GBM) model with the Merton Jump-Diffusion Model (JDM) to forecast the price and quantify the 1-year downside risk for RY.TO. The JDM is chosen as the superior model because it accounts for large, discontinuous price jumps, producing a more conservative and realistic risk profile.</w:t>
      </w:r>
    </w:p>
    <w:p w14:paraId="58CEE04D" w14:textId="31C5C729" w:rsidR="00CE7547" w:rsidRDefault="00000000">
      <w:r>
        <w:t>The forecast suggests an expected return of approximately 17.11% in one year, while the 95% Value-at-Risk (</w:t>
      </w:r>
      <w:proofErr w:type="spellStart"/>
      <w:r>
        <w:t>VaR</w:t>
      </w:r>
      <w:proofErr w:type="spellEnd"/>
      <w:r>
        <w:t>) of 22.67% highlights the substantial downside risk in a crash scenario.</w:t>
      </w:r>
    </w:p>
    <w:p w14:paraId="137FD37A" w14:textId="77777777" w:rsidR="00CE7547" w:rsidRDefault="00000000">
      <w:pPr>
        <w:pStyle w:val="Heading1"/>
      </w:pPr>
      <w:r>
        <w:t>2. Model Parameters</w:t>
      </w:r>
    </w:p>
    <w:p w14:paraId="29E09935" w14:textId="77777777" w:rsidR="00CE7547" w:rsidRDefault="00000000">
      <w:r>
        <w:t>Parameters were estimated from historical log returns and utilized for the Monte Carlo simulation: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1764"/>
      </w:tblGrid>
      <w:tr w:rsidR="0063274F" w14:paraId="414D9C03" w14:textId="77777777" w:rsidTr="0063274F">
        <w:tc>
          <w:tcPr>
            <w:tcW w:w="2880" w:type="dxa"/>
          </w:tcPr>
          <w:p w14:paraId="28624E56" w14:textId="77777777" w:rsidR="0063274F" w:rsidRDefault="0063274F">
            <w:r>
              <w:t>Parameter</w:t>
            </w:r>
          </w:p>
        </w:tc>
        <w:tc>
          <w:tcPr>
            <w:tcW w:w="1764" w:type="dxa"/>
          </w:tcPr>
          <w:p w14:paraId="3EBBAFA1" w14:textId="77777777" w:rsidR="0063274F" w:rsidRDefault="0063274F">
            <w:r>
              <w:t>Value</w:t>
            </w:r>
          </w:p>
        </w:tc>
      </w:tr>
      <w:tr w:rsidR="0063274F" w14:paraId="6C266099" w14:textId="77777777" w:rsidTr="0063274F">
        <w:tc>
          <w:tcPr>
            <w:tcW w:w="2880" w:type="dxa"/>
          </w:tcPr>
          <w:p w14:paraId="596707D7" w14:textId="77777777" w:rsidR="0063274F" w:rsidRDefault="0063274F">
            <w:r>
              <w:t>Annualized Drift</w:t>
            </w:r>
          </w:p>
        </w:tc>
        <w:tc>
          <w:tcPr>
            <w:tcW w:w="1764" w:type="dxa"/>
          </w:tcPr>
          <w:p w14:paraId="25C405FC" w14:textId="77777777" w:rsidR="0063274F" w:rsidRDefault="0063274F">
            <w:r>
              <w:t>0.1571</w:t>
            </w:r>
          </w:p>
        </w:tc>
      </w:tr>
      <w:tr w:rsidR="0063274F" w14:paraId="646376A0" w14:textId="77777777" w:rsidTr="0063274F">
        <w:tc>
          <w:tcPr>
            <w:tcW w:w="2880" w:type="dxa"/>
          </w:tcPr>
          <w:p w14:paraId="1754B56F" w14:textId="77777777" w:rsidR="0063274F" w:rsidRDefault="0063274F">
            <w:r>
              <w:t>Annualized Volatility</w:t>
            </w:r>
          </w:p>
        </w:tc>
        <w:tc>
          <w:tcPr>
            <w:tcW w:w="1764" w:type="dxa"/>
          </w:tcPr>
          <w:p w14:paraId="39EA163A" w14:textId="77777777" w:rsidR="0063274F" w:rsidRDefault="0063274F">
            <w:r>
              <w:t>0.2039</w:t>
            </w:r>
          </w:p>
        </w:tc>
      </w:tr>
      <w:tr w:rsidR="0063274F" w14:paraId="39FF8DE3" w14:textId="77777777" w:rsidTr="0063274F">
        <w:tc>
          <w:tcPr>
            <w:tcW w:w="2880" w:type="dxa"/>
          </w:tcPr>
          <w:p w14:paraId="56CAC3DF" w14:textId="77777777" w:rsidR="0063274F" w:rsidRDefault="0063274F">
            <w:r>
              <w:t>Jump Frequency</w:t>
            </w:r>
          </w:p>
        </w:tc>
        <w:tc>
          <w:tcPr>
            <w:tcW w:w="1764" w:type="dxa"/>
          </w:tcPr>
          <w:p w14:paraId="2E637EAD" w14:textId="77777777" w:rsidR="0063274F" w:rsidRDefault="0063274F">
            <w:r>
              <w:t>1.00</w:t>
            </w:r>
          </w:p>
        </w:tc>
      </w:tr>
      <w:tr w:rsidR="0063274F" w14:paraId="239E704B" w14:textId="77777777" w:rsidTr="0063274F">
        <w:tc>
          <w:tcPr>
            <w:tcW w:w="2880" w:type="dxa"/>
          </w:tcPr>
          <w:p w14:paraId="1BF30B8B" w14:textId="77777777" w:rsidR="0063274F" w:rsidRDefault="0063274F">
            <w:r>
              <w:t>Mean Log-Jump Size</w:t>
            </w:r>
          </w:p>
        </w:tc>
        <w:tc>
          <w:tcPr>
            <w:tcW w:w="1764" w:type="dxa"/>
          </w:tcPr>
          <w:p w14:paraId="07E97E49" w14:textId="77777777" w:rsidR="0063274F" w:rsidRDefault="0063274F">
            <w:r>
              <w:t>-0.05</w:t>
            </w:r>
          </w:p>
        </w:tc>
      </w:tr>
      <w:tr w:rsidR="0063274F" w14:paraId="45751BE1" w14:textId="77777777" w:rsidTr="0063274F">
        <w:tc>
          <w:tcPr>
            <w:tcW w:w="2880" w:type="dxa"/>
          </w:tcPr>
          <w:p w14:paraId="1046A273" w14:textId="77777777" w:rsidR="0063274F" w:rsidRDefault="0063274F">
            <w:r>
              <w:t>Jump Volatility</w:t>
            </w:r>
          </w:p>
        </w:tc>
        <w:tc>
          <w:tcPr>
            <w:tcW w:w="1764" w:type="dxa"/>
          </w:tcPr>
          <w:p w14:paraId="314BD69D" w14:textId="77777777" w:rsidR="0063274F" w:rsidRDefault="0063274F">
            <w:r>
              <w:t>0.10</w:t>
            </w:r>
          </w:p>
        </w:tc>
      </w:tr>
    </w:tbl>
    <w:p w14:paraId="38BB59B9" w14:textId="77777777" w:rsidR="00CE7547" w:rsidRDefault="00000000">
      <w:pPr>
        <w:pStyle w:val="Heading1"/>
      </w:pPr>
      <w:r>
        <w:t>3. Forecast and Risk Comparison</w:t>
      </w:r>
    </w:p>
    <w:p w14:paraId="066DDB50" w14:textId="77777777" w:rsidR="00CE7547" w:rsidRDefault="00000000">
      <w:r>
        <w:t>The JDM provides a more conservative risk profile than the GBM, accounting for "fat tails" in the distribution.</w:t>
      </w:r>
    </w:p>
    <w:p w14:paraId="3F833C04" w14:textId="77777777" w:rsidR="00CE7547" w:rsidRDefault="00000000">
      <w:pPr>
        <w:pStyle w:val="Heading2"/>
      </w:pPr>
      <w:r>
        <w:t>3.1. Expected Return (Mean Forecast)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E7547" w14:paraId="7B8FB707" w14:textId="77777777">
        <w:tc>
          <w:tcPr>
            <w:tcW w:w="2160" w:type="dxa"/>
          </w:tcPr>
          <w:p w14:paraId="28A248E2" w14:textId="77777777" w:rsidR="00CE7547" w:rsidRDefault="00000000">
            <w:r>
              <w:t>Model</w:t>
            </w:r>
          </w:p>
        </w:tc>
        <w:tc>
          <w:tcPr>
            <w:tcW w:w="2160" w:type="dxa"/>
          </w:tcPr>
          <w:p w14:paraId="74D2E15C" w14:textId="77777777" w:rsidR="00CE7547" w:rsidRDefault="00000000">
            <w:r>
              <w:t>Final Mean Price (CAD)</w:t>
            </w:r>
          </w:p>
        </w:tc>
        <w:tc>
          <w:tcPr>
            <w:tcW w:w="2160" w:type="dxa"/>
          </w:tcPr>
          <w:p w14:paraId="591C8FC4" w14:textId="77777777" w:rsidR="00CE7547" w:rsidRDefault="00000000">
            <w:r>
              <w:t>Implied Annual Return</w:t>
            </w:r>
          </w:p>
        </w:tc>
        <w:tc>
          <w:tcPr>
            <w:tcW w:w="2160" w:type="dxa"/>
          </w:tcPr>
          <w:p w14:paraId="37C42A18" w14:textId="77777777" w:rsidR="00CE7547" w:rsidRDefault="00000000">
            <w:r>
              <w:t>Conclusion</w:t>
            </w:r>
          </w:p>
        </w:tc>
      </w:tr>
      <w:tr w:rsidR="00CE7547" w14:paraId="2AAC1195" w14:textId="77777777">
        <w:tc>
          <w:tcPr>
            <w:tcW w:w="2160" w:type="dxa"/>
          </w:tcPr>
          <w:p w14:paraId="536D7F5A" w14:textId="77777777" w:rsidR="00CE7547" w:rsidRDefault="00000000">
            <w:r>
              <w:t>GBM</w:t>
            </w:r>
          </w:p>
        </w:tc>
        <w:tc>
          <w:tcPr>
            <w:tcW w:w="2160" w:type="dxa"/>
          </w:tcPr>
          <w:p w14:paraId="2ABB8A9F" w14:textId="77777777" w:rsidR="00CE7547" w:rsidRDefault="00000000">
            <w:r>
              <w:t>238.84</w:t>
            </w:r>
          </w:p>
        </w:tc>
        <w:tc>
          <w:tcPr>
            <w:tcW w:w="2160" w:type="dxa"/>
          </w:tcPr>
          <w:p w14:paraId="77C1B0F4" w14:textId="77777777" w:rsidR="00CE7547" w:rsidRDefault="00000000">
            <w:r>
              <w:t>17.01%</w:t>
            </w:r>
          </w:p>
        </w:tc>
        <w:tc>
          <w:tcPr>
            <w:tcW w:w="2160" w:type="dxa"/>
          </w:tcPr>
          <w:p w14:paraId="5CAE6D83" w14:textId="77777777" w:rsidR="00CE7547" w:rsidRDefault="00000000">
            <w:r>
              <w:t>Baseline continuous growth</w:t>
            </w:r>
          </w:p>
        </w:tc>
      </w:tr>
      <w:tr w:rsidR="00CE7547" w14:paraId="4F41B865" w14:textId="77777777">
        <w:tc>
          <w:tcPr>
            <w:tcW w:w="2160" w:type="dxa"/>
          </w:tcPr>
          <w:p w14:paraId="262B568D" w14:textId="77777777" w:rsidR="00CE7547" w:rsidRDefault="00000000">
            <w:r>
              <w:t>JDM</w:t>
            </w:r>
          </w:p>
        </w:tc>
        <w:tc>
          <w:tcPr>
            <w:tcW w:w="2160" w:type="dxa"/>
          </w:tcPr>
          <w:p w14:paraId="67A41565" w14:textId="77777777" w:rsidR="00CE7547" w:rsidRDefault="00000000">
            <w:r>
              <w:t>239.04</w:t>
            </w:r>
          </w:p>
        </w:tc>
        <w:tc>
          <w:tcPr>
            <w:tcW w:w="2160" w:type="dxa"/>
          </w:tcPr>
          <w:p w14:paraId="1CD5AA0C" w14:textId="77777777" w:rsidR="00CE7547" w:rsidRDefault="00000000">
            <w:r>
              <w:t>17.11%</w:t>
            </w:r>
          </w:p>
        </w:tc>
        <w:tc>
          <w:tcPr>
            <w:tcW w:w="2160" w:type="dxa"/>
          </w:tcPr>
          <w:p w14:paraId="4BE9467B" w14:textId="77777777" w:rsidR="00CE7547" w:rsidRDefault="00000000">
            <w:r>
              <w:t>Adjusted for jump events</w:t>
            </w:r>
          </w:p>
        </w:tc>
      </w:tr>
    </w:tbl>
    <w:p w14:paraId="274BE11F" w14:textId="77777777" w:rsidR="00CE7547" w:rsidRDefault="00000000">
      <w:pPr>
        <w:pStyle w:val="Heading2"/>
      </w:pPr>
      <w:r>
        <w:lastRenderedPageBreak/>
        <w:t>3.2. Downside Risk (95% VaR)</w:t>
      </w:r>
    </w:p>
    <w:p w14:paraId="2508215A" w14:textId="77777777" w:rsidR="00CE7547" w:rsidRDefault="00000000">
      <w:r>
        <w:t>The 95% VaR is the maximum loss expected with 95% confidence over the next year. The JDM estimate is significantly more conservative.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E7547" w14:paraId="6E2F7F31" w14:textId="77777777">
        <w:tc>
          <w:tcPr>
            <w:tcW w:w="2880" w:type="dxa"/>
          </w:tcPr>
          <w:p w14:paraId="43F45149" w14:textId="77777777" w:rsidR="00CE7547" w:rsidRDefault="00000000">
            <w:r>
              <w:t>Model</w:t>
            </w:r>
          </w:p>
        </w:tc>
        <w:tc>
          <w:tcPr>
            <w:tcW w:w="2880" w:type="dxa"/>
          </w:tcPr>
          <w:p w14:paraId="0EDF4453" w14:textId="77777777" w:rsidR="00CE7547" w:rsidRDefault="00000000">
            <w:r>
              <w:t>95% VaR Price Level (CAD)</w:t>
            </w:r>
          </w:p>
        </w:tc>
        <w:tc>
          <w:tcPr>
            <w:tcW w:w="2880" w:type="dxa"/>
          </w:tcPr>
          <w:p w14:paraId="264CDFB9" w14:textId="77777777" w:rsidR="00CE7547" w:rsidRDefault="00000000">
            <w:r>
              <w:t>95% VaR Loss (%)</w:t>
            </w:r>
          </w:p>
        </w:tc>
      </w:tr>
      <w:tr w:rsidR="00CE7547" w14:paraId="2AB274D8" w14:textId="77777777">
        <w:tc>
          <w:tcPr>
            <w:tcW w:w="2880" w:type="dxa"/>
          </w:tcPr>
          <w:p w14:paraId="2F2F637A" w14:textId="77777777" w:rsidR="00CE7547" w:rsidRDefault="00000000">
            <w:r>
              <w:t>JDM</w:t>
            </w:r>
          </w:p>
        </w:tc>
        <w:tc>
          <w:tcPr>
            <w:tcW w:w="2880" w:type="dxa"/>
          </w:tcPr>
          <w:p w14:paraId="48080FB8" w14:textId="77777777" w:rsidR="00CE7547" w:rsidRDefault="00000000">
            <w:r>
              <w:t>157.85</w:t>
            </w:r>
          </w:p>
        </w:tc>
        <w:tc>
          <w:tcPr>
            <w:tcW w:w="2880" w:type="dxa"/>
          </w:tcPr>
          <w:p w14:paraId="784FDBDC" w14:textId="77777777" w:rsidR="00CE7547" w:rsidRDefault="00000000">
            <w:r>
              <w:t>22.67%</w:t>
            </w:r>
          </w:p>
        </w:tc>
      </w:tr>
      <w:tr w:rsidR="00CE7547" w14:paraId="76718A10" w14:textId="77777777">
        <w:tc>
          <w:tcPr>
            <w:tcW w:w="2880" w:type="dxa"/>
          </w:tcPr>
          <w:p w14:paraId="1B3947EE" w14:textId="77777777" w:rsidR="00CE7547" w:rsidRDefault="00000000">
            <w:r>
              <w:t>Loss Value</w:t>
            </w:r>
          </w:p>
        </w:tc>
        <w:tc>
          <w:tcPr>
            <w:tcW w:w="2880" w:type="dxa"/>
          </w:tcPr>
          <w:p w14:paraId="7F89378B" w14:textId="77777777" w:rsidR="00CE7547" w:rsidRDefault="00000000">
            <w:r>
              <w:t>46.27 CAD</w:t>
            </w:r>
          </w:p>
        </w:tc>
        <w:tc>
          <w:tcPr>
            <w:tcW w:w="2880" w:type="dxa"/>
          </w:tcPr>
          <w:p w14:paraId="4E24D7A4" w14:textId="77777777" w:rsidR="00CE7547" w:rsidRDefault="00000000">
            <w:r>
              <w:t>N/A</w:t>
            </w:r>
          </w:p>
        </w:tc>
      </w:tr>
    </w:tbl>
    <w:p w14:paraId="7CCA7FB2" w14:textId="77777777" w:rsidR="00CE7547" w:rsidRDefault="00000000">
      <w:pPr>
        <w:pStyle w:val="Heading1"/>
      </w:pPr>
      <w:r>
        <w:t>4. Sensitivity Analysis</w:t>
      </w:r>
    </w:p>
    <w:p w14:paraId="7F91C17A" w14:textId="77777777" w:rsidR="00CE7547" w:rsidRDefault="00000000">
      <w:r>
        <w:t>The analysis tests the model's robustness against extreme assumptions for jump parameters.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E7547" w14:paraId="7FC49169" w14:textId="77777777">
        <w:tc>
          <w:tcPr>
            <w:tcW w:w="1728" w:type="dxa"/>
          </w:tcPr>
          <w:p w14:paraId="15B8623B" w14:textId="77777777" w:rsidR="00CE7547" w:rsidRDefault="00000000">
            <w:r>
              <w:t>Scenario</w:t>
            </w:r>
          </w:p>
        </w:tc>
        <w:tc>
          <w:tcPr>
            <w:tcW w:w="1728" w:type="dxa"/>
          </w:tcPr>
          <w:p w14:paraId="5D9D1D1E" w14:textId="2B289F67" w:rsidR="00CE7547" w:rsidRDefault="0063274F">
            <w:r>
              <w:sym w:font="Symbol" w:char="F06C"/>
            </w:r>
          </w:p>
        </w:tc>
        <w:tc>
          <w:tcPr>
            <w:tcW w:w="1728" w:type="dxa"/>
          </w:tcPr>
          <w:p w14:paraId="6F72DDC4" w14:textId="0289A812" w:rsidR="00CE7547" w:rsidRPr="0063274F" w:rsidRDefault="0063274F">
            <w:pPr>
              <w:rPr>
                <w:vertAlign w:val="subscript"/>
              </w:rPr>
            </w:pPr>
            <w:r>
              <w:sym w:font="Symbol" w:char="F06D"/>
            </w:r>
            <w:r>
              <w:rPr>
                <w:vertAlign w:val="subscript"/>
              </w:rPr>
              <w:t>J</w:t>
            </w:r>
          </w:p>
        </w:tc>
        <w:tc>
          <w:tcPr>
            <w:tcW w:w="1728" w:type="dxa"/>
          </w:tcPr>
          <w:p w14:paraId="24B28830" w14:textId="77777777" w:rsidR="00CE7547" w:rsidRDefault="00000000">
            <w:r>
              <w:t>95% VaR Loss (%)</w:t>
            </w:r>
          </w:p>
        </w:tc>
        <w:tc>
          <w:tcPr>
            <w:tcW w:w="1728" w:type="dxa"/>
          </w:tcPr>
          <w:p w14:paraId="701F6723" w14:textId="77777777" w:rsidR="00CE7547" w:rsidRDefault="00000000">
            <w:r>
              <w:t>Impact</w:t>
            </w:r>
          </w:p>
        </w:tc>
      </w:tr>
      <w:tr w:rsidR="00CE7547" w14:paraId="4A4CF50E" w14:textId="77777777">
        <w:tc>
          <w:tcPr>
            <w:tcW w:w="1728" w:type="dxa"/>
          </w:tcPr>
          <w:p w14:paraId="330B7855" w14:textId="77777777" w:rsidR="00CE7547" w:rsidRDefault="00000000">
            <w:r>
              <w:t>Baseline</w:t>
            </w:r>
          </w:p>
        </w:tc>
        <w:tc>
          <w:tcPr>
            <w:tcW w:w="1728" w:type="dxa"/>
          </w:tcPr>
          <w:p w14:paraId="5A143336" w14:textId="77777777" w:rsidR="00CE7547" w:rsidRDefault="00000000">
            <w:r>
              <w:t>1.0</w:t>
            </w:r>
          </w:p>
        </w:tc>
        <w:tc>
          <w:tcPr>
            <w:tcW w:w="1728" w:type="dxa"/>
          </w:tcPr>
          <w:p w14:paraId="53FD92C1" w14:textId="77777777" w:rsidR="00CE7547" w:rsidRDefault="00000000">
            <w:r>
              <w:t>-0.05</w:t>
            </w:r>
          </w:p>
        </w:tc>
        <w:tc>
          <w:tcPr>
            <w:tcW w:w="1728" w:type="dxa"/>
          </w:tcPr>
          <w:p w14:paraId="41F3E4C8" w14:textId="77777777" w:rsidR="00CE7547" w:rsidRDefault="00000000">
            <w:r>
              <w:t>22.67%</w:t>
            </w:r>
          </w:p>
        </w:tc>
        <w:tc>
          <w:tcPr>
            <w:tcW w:w="1728" w:type="dxa"/>
          </w:tcPr>
          <w:p w14:paraId="449CB15C" w14:textId="77777777" w:rsidR="00CE7547" w:rsidRDefault="00000000">
            <w:r>
              <w:t>Reference</w:t>
            </w:r>
          </w:p>
        </w:tc>
      </w:tr>
      <w:tr w:rsidR="00CE7547" w14:paraId="6C8BF8AC" w14:textId="77777777">
        <w:tc>
          <w:tcPr>
            <w:tcW w:w="1728" w:type="dxa"/>
          </w:tcPr>
          <w:p w14:paraId="056203BD" w14:textId="77777777" w:rsidR="00CE7547" w:rsidRDefault="00000000">
            <w:r>
              <w:t>Stress: High Frequency</w:t>
            </w:r>
          </w:p>
        </w:tc>
        <w:tc>
          <w:tcPr>
            <w:tcW w:w="1728" w:type="dxa"/>
          </w:tcPr>
          <w:p w14:paraId="1C36217C" w14:textId="77777777" w:rsidR="00CE7547" w:rsidRDefault="00000000">
            <w:r>
              <w:t>2.0</w:t>
            </w:r>
          </w:p>
        </w:tc>
        <w:tc>
          <w:tcPr>
            <w:tcW w:w="1728" w:type="dxa"/>
          </w:tcPr>
          <w:p w14:paraId="63AF51E2" w14:textId="77777777" w:rsidR="00CE7547" w:rsidRDefault="00000000">
            <w:r>
              <w:t>-0.05</w:t>
            </w:r>
          </w:p>
        </w:tc>
        <w:tc>
          <w:tcPr>
            <w:tcW w:w="1728" w:type="dxa"/>
          </w:tcPr>
          <w:p w14:paraId="57E54203" w14:textId="77777777" w:rsidR="00CE7547" w:rsidRDefault="00000000">
            <w:r>
              <w:t>26.58%</w:t>
            </w:r>
          </w:p>
        </w:tc>
        <w:tc>
          <w:tcPr>
            <w:tcW w:w="1728" w:type="dxa"/>
          </w:tcPr>
          <w:p w14:paraId="1122510C" w14:textId="7E1C34EC" w:rsidR="00CE7547" w:rsidRDefault="00000000">
            <w:r>
              <w:t xml:space="preserve">Higher Risk than </w:t>
            </w:r>
            <w:r w:rsidR="0063274F">
              <w:sym w:font="Symbol" w:char="F06D"/>
            </w:r>
            <w:r w:rsidR="0063274F">
              <w:rPr>
                <w:vertAlign w:val="subscript"/>
              </w:rPr>
              <w:t>J</w:t>
            </w:r>
            <w:r w:rsidR="0063274F">
              <w:t xml:space="preserve"> </w:t>
            </w:r>
            <w:r>
              <w:t>stress</w:t>
            </w:r>
          </w:p>
        </w:tc>
      </w:tr>
      <w:tr w:rsidR="00CE7547" w14:paraId="7FE7A18B" w14:textId="77777777">
        <w:tc>
          <w:tcPr>
            <w:tcW w:w="1728" w:type="dxa"/>
          </w:tcPr>
          <w:p w14:paraId="50CFCAFB" w14:textId="77777777" w:rsidR="00CE7547" w:rsidRDefault="00000000">
            <w:r>
              <w:t>Stress: Large Drop</w:t>
            </w:r>
          </w:p>
        </w:tc>
        <w:tc>
          <w:tcPr>
            <w:tcW w:w="1728" w:type="dxa"/>
          </w:tcPr>
          <w:p w14:paraId="4EAAD99F" w14:textId="77777777" w:rsidR="00CE7547" w:rsidRDefault="00000000">
            <w:r>
              <w:t>1.0</w:t>
            </w:r>
          </w:p>
        </w:tc>
        <w:tc>
          <w:tcPr>
            <w:tcW w:w="1728" w:type="dxa"/>
          </w:tcPr>
          <w:p w14:paraId="0B6B8BD2" w14:textId="77777777" w:rsidR="00CE7547" w:rsidRDefault="00000000">
            <w:r>
              <w:t>-0.10</w:t>
            </w:r>
          </w:p>
        </w:tc>
        <w:tc>
          <w:tcPr>
            <w:tcW w:w="1728" w:type="dxa"/>
          </w:tcPr>
          <w:p w14:paraId="37DFAFB6" w14:textId="77777777" w:rsidR="00CE7547" w:rsidRDefault="00000000">
            <w:r>
              <w:t>25.99%</w:t>
            </w:r>
          </w:p>
        </w:tc>
        <w:tc>
          <w:tcPr>
            <w:tcW w:w="1728" w:type="dxa"/>
          </w:tcPr>
          <w:p w14:paraId="1B64AA58" w14:textId="77777777" w:rsidR="00CE7547" w:rsidRDefault="00000000">
            <w:r>
              <w:t>Significant Risk Increase</w:t>
            </w:r>
          </w:p>
        </w:tc>
      </w:tr>
    </w:tbl>
    <w:p w14:paraId="711CC908" w14:textId="77777777" w:rsidR="00107D97" w:rsidRDefault="00107D97" w:rsidP="00107D97">
      <w:pPr>
        <w:pStyle w:val="Heading1"/>
      </w:pPr>
      <w:r>
        <w:t xml:space="preserve">5. Risk Assessment: </w:t>
      </w:r>
      <w:proofErr w:type="spellStart"/>
      <w:r>
        <w:t>VaR</w:t>
      </w:r>
      <w:proofErr w:type="spellEnd"/>
      <w:r>
        <w:t xml:space="preserve"> and Crash Risk</w:t>
      </w:r>
    </w:p>
    <w:p w14:paraId="78591A95" w14:textId="77777777" w:rsidR="00107D97" w:rsidRDefault="00107D97" w:rsidP="00107D97">
      <w:r>
        <w:t>The JDM provides a significantly more conservative (and realistic) view of downside risk. The 5th percentile price is $157.85 CAD$.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07D97" w14:paraId="28BBA55D" w14:textId="77777777" w:rsidTr="0093197A">
        <w:tc>
          <w:tcPr>
            <w:tcW w:w="2160" w:type="dxa"/>
          </w:tcPr>
          <w:p w14:paraId="0D5DCEE0" w14:textId="77777777" w:rsidR="00107D97" w:rsidRDefault="00107D97" w:rsidP="0093197A">
            <w:r>
              <w:t>Scenario</w:t>
            </w:r>
          </w:p>
        </w:tc>
        <w:tc>
          <w:tcPr>
            <w:tcW w:w="2160" w:type="dxa"/>
          </w:tcPr>
          <w:p w14:paraId="62D62DE1" w14:textId="77777777" w:rsidR="00107D97" w:rsidRDefault="00107D97" w:rsidP="0093197A">
            <w:r>
              <w:t>Risk Metric</w:t>
            </w:r>
          </w:p>
        </w:tc>
        <w:tc>
          <w:tcPr>
            <w:tcW w:w="2160" w:type="dxa"/>
          </w:tcPr>
          <w:p w14:paraId="4DAB0E05" w14:textId="77777777" w:rsidR="00107D97" w:rsidRDefault="00107D97" w:rsidP="0093197A">
            <w:r>
              <w:t>Value</w:t>
            </w:r>
          </w:p>
        </w:tc>
        <w:tc>
          <w:tcPr>
            <w:tcW w:w="2160" w:type="dxa"/>
          </w:tcPr>
          <w:p w14:paraId="3645A444" w14:textId="77777777" w:rsidR="00107D97" w:rsidRDefault="00107D97" w:rsidP="0093197A">
            <w:r>
              <w:t>Conclusion</w:t>
            </w:r>
          </w:p>
        </w:tc>
      </w:tr>
      <w:tr w:rsidR="00107D97" w14:paraId="254F982D" w14:textId="77777777" w:rsidTr="0093197A">
        <w:tc>
          <w:tcPr>
            <w:tcW w:w="2160" w:type="dxa"/>
          </w:tcPr>
          <w:p w14:paraId="41C3A066" w14:textId="77777777" w:rsidR="00107D97" w:rsidRDefault="00107D97" w:rsidP="0093197A">
            <w:r>
              <w:t>GBM (Symmetrical)</w:t>
            </w:r>
          </w:p>
        </w:tc>
        <w:tc>
          <w:tcPr>
            <w:tcW w:w="2160" w:type="dxa"/>
          </w:tcPr>
          <w:p w14:paraId="08ED4B11" w14:textId="77777777" w:rsidR="00107D97" w:rsidRDefault="00107D97" w:rsidP="0093197A">
            <w:r>
              <w:t>5th Percentile Price</w:t>
            </w:r>
          </w:p>
        </w:tc>
        <w:tc>
          <w:tcPr>
            <w:tcW w:w="2160" w:type="dxa"/>
          </w:tcPr>
          <w:p w14:paraId="12656EC5" w14:textId="77777777" w:rsidR="00107D97" w:rsidRDefault="00107D97" w:rsidP="0093197A">
            <w:r>
              <w:t>≈ 186.97 CAD</w:t>
            </w:r>
          </w:p>
        </w:tc>
        <w:tc>
          <w:tcPr>
            <w:tcW w:w="2160" w:type="dxa"/>
          </w:tcPr>
          <w:p w14:paraId="585739C1" w14:textId="77777777" w:rsidR="00107D97" w:rsidRDefault="00107D97" w:rsidP="0093197A">
            <w:r>
              <w:t>Underestimates crash risk</w:t>
            </w:r>
          </w:p>
        </w:tc>
      </w:tr>
      <w:tr w:rsidR="00107D97" w14:paraId="0624504D" w14:textId="77777777" w:rsidTr="0093197A">
        <w:tc>
          <w:tcPr>
            <w:tcW w:w="2160" w:type="dxa"/>
          </w:tcPr>
          <w:p w14:paraId="798DC1DF" w14:textId="77777777" w:rsidR="00107D97" w:rsidRDefault="00107D97" w:rsidP="0093197A">
            <w:r>
              <w:t>JDM (Baseline Risk)</w:t>
            </w:r>
          </w:p>
        </w:tc>
        <w:tc>
          <w:tcPr>
            <w:tcW w:w="2160" w:type="dxa"/>
          </w:tcPr>
          <w:p w14:paraId="4E538BCF" w14:textId="77777777" w:rsidR="00107D97" w:rsidRDefault="00107D97" w:rsidP="0093197A">
            <w:r>
              <w:t xml:space="preserve">95% </w:t>
            </w:r>
            <w:proofErr w:type="spellStart"/>
            <w:r>
              <w:t>VaR</w:t>
            </w:r>
            <w:proofErr w:type="spellEnd"/>
            <w:r>
              <w:t xml:space="preserve"> Loss</w:t>
            </w:r>
          </w:p>
        </w:tc>
        <w:tc>
          <w:tcPr>
            <w:tcW w:w="2160" w:type="dxa"/>
          </w:tcPr>
          <w:p w14:paraId="76277184" w14:textId="77777777" w:rsidR="00107D97" w:rsidRDefault="00107D97" w:rsidP="0093197A">
            <w:r>
              <w:t>22.67%</w:t>
            </w:r>
          </w:p>
        </w:tc>
        <w:tc>
          <w:tcPr>
            <w:tcW w:w="2160" w:type="dxa"/>
          </w:tcPr>
          <w:p w14:paraId="623AD5AE" w14:textId="77777777" w:rsidR="00107D97" w:rsidRDefault="00107D97" w:rsidP="0093197A">
            <w:r>
              <w:t>Baseline Conservative Risk</w:t>
            </w:r>
          </w:p>
        </w:tc>
      </w:tr>
      <w:tr w:rsidR="00107D97" w14:paraId="0C1B9A3D" w14:textId="77777777" w:rsidTr="0093197A">
        <w:tc>
          <w:tcPr>
            <w:tcW w:w="2160" w:type="dxa"/>
          </w:tcPr>
          <w:p w14:paraId="3A295684" w14:textId="77777777" w:rsidR="00107D97" w:rsidRDefault="00107D97" w:rsidP="0093197A">
            <w:r>
              <w:t>JDM (Stress λ=2.0)</w:t>
            </w:r>
          </w:p>
        </w:tc>
        <w:tc>
          <w:tcPr>
            <w:tcW w:w="2160" w:type="dxa"/>
          </w:tcPr>
          <w:p w14:paraId="5EE8D6CD" w14:textId="77777777" w:rsidR="00107D97" w:rsidRDefault="00107D97" w:rsidP="0093197A">
            <w:r>
              <w:t xml:space="preserve">95% </w:t>
            </w:r>
            <w:proofErr w:type="spellStart"/>
            <w:r>
              <w:t>VaR</w:t>
            </w:r>
            <w:proofErr w:type="spellEnd"/>
            <w:r>
              <w:t xml:space="preserve"> Loss</w:t>
            </w:r>
          </w:p>
        </w:tc>
        <w:tc>
          <w:tcPr>
            <w:tcW w:w="2160" w:type="dxa"/>
          </w:tcPr>
          <w:p w14:paraId="25854FF0" w14:textId="77777777" w:rsidR="00107D97" w:rsidRDefault="00107D97" w:rsidP="0093197A">
            <w:r>
              <w:t>26.58%</w:t>
            </w:r>
          </w:p>
        </w:tc>
        <w:tc>
          <w:tcPr>
            <w:tcW w:w="2160" w:type="dxa"/>
          </w:tcPr>
          <w:p w14:paraId="06587F63" w14:textId="77777777" w:rsidR="00107D97" w:rsidRDefault="00107D97" w:rsidP="0093197A">
            <w:r>
              <w:t>Risk Sensitive to Jump Frequency</w:t>
            </w:r>
          </w:p>
        </w:tc>
      </w:tr>
      <w:tr w:rsidR="00107D97" w14:paraId="125CF34D" w14:textId="77777777" w:rsidTr="0093197A">
        <w:tc>
          <w:tcPr>
            <w:tcW w:w="2160" w:type="dxa"/>
          </w:tcPr>
          <w:p w14:paraId="19F8BC27" w14:textId="77777777" w:rsidR="00107D97" w:rsidRDefault="00107D97" w:rsidP="0093197A">
            <w:r>
              <w:t xml:space="preserve">JDM (Stress </w:t>
            </w:r>
            <w:proofErr w:type="spellStart"/>
            <w:r>
              <w:t>μJ</w:t>
            </w:r>
            <w:proofErr w:type="spellEnd"/>
            <w:r>
              <w:t>=-0.10)</w:t>
            </w:r>
          </w:p>
        </w:tc>
        <w:tc>
          <w:tcPr>
            <w:tcW w:w="2160" w:type="dxa"/>
          </w:tcPr>
          <w:p w14:paraId="7656DB2A" w14:textId="77777777" w:rsidR="00107D97" w:rsidRDefault="00107D97" w:rsidP="0093197A">
            <w:r>
              <w:t xml:space="preserve">95% </w:t>
            </w:r>
            <w:proofErr w:type="spellStart"/>
            <w:r>
              <w:t>VaR</w:t>
            </w:r>
            <w:proofErr w:type="spellEnd"/>
            <w:r>
              <w:t xml:space="preserve"> Loss</w:t>
            </w:r>
          </w:p>
        </w:tc>
        <w:tc>
          <w:tcPr>
            <w:tcW w:w="2160" w:type="dxa"/>
          </w:tcPr>
          <w:p w14:paraId="7D22C088" w14:textId="77777777" w:rsidR="00107D97" w:rsidRDefault="00107D97" w:rsidP="0093197A">
            <w:r>
              <w:t>25.99%</w:t>
            </w:r>
          </w:p>
        </w:tc>
        <w:tc>
          <w:tcPr>
            <w:tcW w:w="2160" w:type="dxa"/>
          </w:tcPr>
          <w:p w14:paraId="39411F5D" w14:textId="77777777" w:rsidR="00107D97" w:rsidRDefault="00107D97" w:rsidP="0093197A">
            <w:r>
              <w:t>Risk Sensitive to Jump Size</w:t>
            </w:r>
          </w:p>
        </w:tc>
      </w:tr>
    </w:tbl>
    <w:p w14:paraId="6BACBAA0" w14:textId="77777777" w:rsidR="00107D97" w:rsidRDefault="00107D97"/>
    <w:p w14:paraId="4ACE5747" w14:textId="77777777" w:rsidR="00107D97" w:rsidRDefault="00107D97" w:rsidP="00107D97">
      <w:r>
        <w:t xml:space="preserve">Conclusion: The </w:t>
      </w:r>
      <w:proofErr w:type="spellStart"/>
      <w:r>
        <w:t>VaR</w:t>
      </w:r>
      <w:proofErr w:type="spellEnd"/>
      <w:r>
        <w:t xml:space="preserve"> calculation is most sensitive to jump frequency (</w:t>
      </w:r>
      <w:r>
        <w:sym w:font="Symbol" w:char="F06C"/>
      </w:r>
      <w:r>
        <w:t>). Changes in the occurrence rate of rare events exert a stronger influence on downside risk than the magnitude of individual jumps.</w:t>
      </w:r>
    </w:p>
    <w:p w14:paraId="49EAABD1" w14:textId="77777777" w:rsidR="00107D97" w:rsidRDefault="00107D97"/>
    <w:sectPr w:rsidR="00107D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239767">
    <w:abstractNumId w:val="8"/>
  </w:num>
  <w:num w:numId="2" w16cid:durableId="653295391">
    <w:abstractNumId w:val="6"/>
  </w:num>
  <w:num w:numId="3" w16cid:durableId="803815618">
    <w:abstractNumId w:val="5"/>
  </w:num>
  <w:num w:numId="4" w16cid:durableId="1748306371">
    <w:abstractNumId w:val="4"/>
  </w:num>
  <w:num w:numId="5" w16cid:durableId="489712924">
    <w:abstractNumId w:val="7"/>
  </w:num>
  <w:num w:numId="6" w16cid:durableId="1372879066">
    <w:abstractNumId w:val="3"/>
  </w:num>
  <w:num w:numId="7" w16cid:durableId="29569983">
    <w:abstractNumId w:val="2"/>
  </w:num>
  <w:num w:numId="8" w16cid:durableId="1959948292">
    <w:abstractNumId w:val="1"/>
  </w:num>
  <w:num w:numId="9" w16cid:durableId="1940603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D97"/>
    <w:rsid w:val="0015074B"/>
    <w:rsid w:val="0029639D"/>
    <w:rsid w:val="00326F90"/>
    <w:rsid w:val="0063274F"/>
    <w:rsid w:val="00AA1D8D"/>
    <w:rsid w:val="00B47730"/>
    <w:rsid w:val="00CB0664"/>
    <w:rsid w:val="00CE7547"/>
    <w:rsid w:val="00D54C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4CAA4E"/>
  <w14:defaultImageDpi w14:val="300"/>
  <w15:docId w15:val="{C6105BF8-6D37-0B40-A1BF-5DA2FE47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Mehrab Ahmed Chowdhury</cp:lastModifiedBy>
  <cp:revision>3</cp:revision>
  <dcterms:created xsi:type="dcterms:W3CDTF">2013-12-23T23:15:00Z</dcterms:created>
  <dcterms:modified xsi:type="dcterms:W3CDTF">2025-12-16T18:41:00Z</dcterms:modified>
  <cp:category/>
</cp:coreProperties>
</file>