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Computer vision and uncertainty-aware learning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M.Sc. student in AI (GPA 18.45/20), preparing for thesis defense. Research on belief and uncertainty in VSR and Go, with PyTorch/CUDA training and inference. Seeking a fully funded PhD in computer vision, efficient deep learning or model optimization.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research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EGOSD for VSR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Preprint · Under review at The Visual Computer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Entropy-Gated Online Self-Distillation for Visual Speech Recognition Based on Connectionist Temporal Classification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Bastanfard. 2026.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EGOSD uses an auxiliary belief module to estimate frame-level uncertainty and control online self-distillation in a lightweight VSR model, with negligible additional inference cost.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https://doi.org/10.2139/ssrn.6831426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Belief-guided decision making in Go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arXiv preprint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Belief-Guided Decision Making with Uncertainty Gating in the Game of Go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Bastanfard, Abbas Jalilvand, Ashkan Rezaei. 2026.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This work explores belief models that account for uncertainty to guide decisions in Go with less reliance on search.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https://arxiv.org/abs/2607.26946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software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Python package for video-based lip-region extraction with MediaPipe, temporal smoothing and configurable CPU/CUDA processing.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PyTorch, CUDA (PyTorch GPU training and inference), TorchVision, OpenCV, MediaPipe, NumPy, Pandas, scikit-learn, Git, Linux, LaTeX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Research, teaching and 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(university startup project, not incorporated)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Computer vision and uncertainty-aware learning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