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Computer vision and uncertainty-aware learning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  <w:r>
        <w:rPr>
          <w:rFonts w:ascii="Arial" w:hAnsi="Arial" w:cs="Arial"/>
          <w:b w:val="0"/>
          <w:color w:val="1B2C3B"/>
          <w:sz w:val="17"/>
          <w:lang w:val="en-US" w:bidi="en-US"/>
        </w:rPr>
        <w:t xml:space="preserve"> | +98 991 209 3038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M.Sc. student in AI (GPA 18.45/20), preparing for thesis defense. Research on uncertainty-guided learning in visual speech recognition and decision making in Go. Seeking a fully funded PhD in computer vision or efficient deep learning.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research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Entropy-Gated Online Self-Distillation for Visual Speech Recognition Based on Connectionist Temporal Classification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Bastanfard. 2026. Preprint · Under review at The Visual Computer.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EGOSD uses an auxiliary belief module to estimate frame-level uncertainty and control online self-distillation in a lightweight VSR model, with negligible additional inference cost.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https://doi.org/10.2139/ssrn.6831426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Belief-Guided Decision Making with Uncertainty Gating in the Game of Go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Bastanfard, Abbas Jalilvand, Ashkan Rezaei. 2026. arXiv preprint.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This work explores belief models that account for uncertainty to guide decisions in Go with less reliance on search.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https://arxiv.org/abs/2607.26946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software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Python package for video-based lip-region extraction with MediaPipe, temporal smoothing and configurable CPU/CUDA processing.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 (CUDA), TorchVision, OpenCV, MediaPipe, NumPy, Pandas, scikit-learn, Git, Linux, LaTeX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Research, teaching and 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University startup project developing games informed by psychology for crime prevention. The venture was not formally incorporated.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Computer vision and uncertainty-aware learning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