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bidi/>
        <w:jc w:val="right"/>
        <w:spacing w:after="160" w:line="280" w:lineRule="auto"/>
      </w:pPr>
      <w:r>
        <w:rPr>
          <w:rFonts w:ascii="Arial" w:hAnsi="Arial" w:cs="Arial"/>
          <w:rtl/>
          <w:b/>
          <w:bCs/>
          <w:color w:val="176B56"/>
          <w:sz w:val="32"/>
          <w:szCs w:val="32"/>
        </w:rPr>
        <w:t xml:space="preserve">GreenPeak — ماتریس دسترسی ادمین و کاربر</w:t>
      </w:r>
    </w:p>
    <w:p>
      <w:pPr>
        <w:bidi/>
        <w:jc w:val="right"/>
        <w:spacing w:after="180" w:line="280" w:lineRule="auto"/>
      </w:pPr>
      <w:r>
        <w:rPr>
          <w:rFonts w:ascii="Arial" w:hAnsi="Arial" w:cs="Arial"/>
          <w:rtl/>
          <w:color w:val="253343"/>
          <w:sz w:val="23"/>
          <w:szCs w:val="23"/>
        </w:rPr>
        <w:t xml:space="preserve">شرح وضعیت پیاده‌سازی برای ارائه به مالک محصول (PO)</w:t>
      </w:r>
    </w:p>
    <w:tbl>
      <w:tblPr>
        <w:bidiVisual/>
        <w:tblW w:w="15038" w:type="dxa"/>
        <w:tblLayout w:type="fixed"/>
        <w:tblBorders>
          <w:top w:val="single" w:sz="4" w:color="D3DFDA"/>
          <w:left w:val="single" w:sz="4" w:color="D3DFDA"/>
          <w:bottom w:val="single" w:sz="4" w:color="D3DFDA"/>
          <w:right w:val="single" w:sz="4" w:color="D3DFDA"/>
          <w:insideH w:val="single" w:sz="4" w:color="D3DFDA"/>
          <w:insideV w:val="single" w:sz="4" w:color="D3DFDA"/>
        </w:tblBorders>
        <w:tblCellMar>
          <w:top w:w="90" w:type="dxa"/>
          <w:left w:w="120" w:type="dxa"/>
          <w:bottom w:w="90" w:type="dxa"/>
          <w:right w:w="120" w:type="dxa"/>
        </w:tblCellMar>
      </w:tblPr>
      <w:tblGrid>
        <w:gridCol w:w="8200"/>
        <w:gridCol w:w="3419"/>
        <w:gridCol w:w="3419"/>
      </w:tblGrid>
      <w:tr>
        <w:trPr>
          <w:cantSplit/>
          <w:tblHeader/>
        </w:trPr>
        <w:tc>
          <w:tcPr>
            <w:tcW w:w="8200" w:type="dxa"/>
            <w:shd w:fill="176B56"/>
            <w:vAlign w:val="center"/>
          </w:tcPr>
          <w:p>
            <w:pPr>
              <w:bidi/>
              <w:jc w:val="right"/>
              <w:spacing w:after="60" w:line="280" w:lineRule="auto"/>
            </w:pPr>
            <w:r>
              <w:rPr>
                <w:rFonts w:ascii="Arial" w:hAnsi="Arial" w:cs="Arial"/>
                <w:rtl/>
                <w:b/>
                <w:bCs/>
                <w:color w:val="FFFFFF"/>
                <w:sz w:val="20"/>
                <w:szCs w:val="20"/>
              </w:rPr>
              <w:t xml:space="preserve">قابلیت</w:t>
            </w:r>
          </w:p>
        </w:tc>
        <w:tc>
          <w:tcPr>
            <w:tcW w:w="3419" w:type="dxa"/>
            <w:shd w:fill="176B56"/>
            <w:vAlign w:val="center"/>
          </w:tcPr>
          <w:p>
            <w:pPr>
              <w:bidi/>
              <w:jc w:val="right"/>
              <w:spacing w:after="60" w:line="280" w:lineRule="auto"/>
            </w:pPr>
            <w:r>
              <w:rPr>
                <w:rFonts w:ascii="Arial" w:hAnsi="Arial" w:cs="Arial"/>
                <w:rtl/>
                <w:b/>
                <w:bCs/>
                <w:color w:val="FFFFFF"/>
                <w:sz w:val="20"/>
                <w:szCs w:val="20"/>
              </w:rPr>
              <w:t xml:space="preserve">ادمین (admin)</w:t>
            </w:r>
          </w:p>
        </w:tc>
        <w:tc>
          <w:tcPr>
            <w:tcW w:w="3419" w:type="dxa"/>
            <w:shd w:fill="176B56"/>
            <w:vAlign w:val="center"/>
          </w:tcPr>
          <w:p>
            <w:pPr>
              <w:bidi/>
              <w:jc w:val="right"/>
              <w:spacing w:after="60" w:line="280" w:lineRule="auto"/>
            </w:pPr>
            <w:r>
              <w:rPr>
                <w:rFonts w:ascii="Arial" w:hAnsi="Arial" w:cs="Arial"/>
                <w:rtl/>
                <w:b/>
                <w:bCs/>
                <w:color w:val="FFFFFF"/>
                <w:sz w:val="20"/>
                <w:szCs w:val="20"/>
              </w:rPr>
              <w:t xml:space="preserve">کاربر (user)</w:t>
            </w:r>
          </w:p>
        </w:tc>
      </w:tr>
      <w:tr>
        <w:trPr>
          <w:cantSplit/>
        </w:trPr>
        <w:tc>
          <w:tcPr>
            <w:tcW w:w="8200" w:type="dxa"/>
            <w:shd w:fill="F0F5F4"/>
            <w:vAlign w:val="center"/>
          </w:tcPr>
          <w:p>
            <w:pPr>
              <w:bidi/>
              <w:jc w:val="right"/>
              <w:spacing w:after="60" w:line="280" w:lineRule="auto"/>
            </w:pPr>
            <w:r>
              <w:rPr>
                <w:rFonts w:ascii="Arial" w:hAnsi="Arial" w:cs="Arial"/>
                <w:rtl/>
                <w:color w:val="253343"/>
                <w:sz w:val="20"/>
                <w:szCs w:val="20"/>
              </w:rPr>
              <w:t xml:space="preserve">مشاهده داشبورد و نمودارهای مالی</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w:t>
            </w:r>
          </w:p>
        </w:tc>
      </w:tr>
      <w:tr>
        <w:trPr>
          <w:cantSplit/>
        </w:trPr>
        <w:tc>
          <w:tcPr>
            <w:tcW w:w="8200" w:type="dxa"/>
            <w:shd w:fill="FFFFFF"/>
            <w:vAlign w:val="center"/>
          </w:tcPr>
          <w:p>
            <w:pPr>
              <w:bidi/>
              <w:jc w:val="right"/>
              <w:spacing w:after="60" w:line="280" w:lineRule="auto"/>
            </w:pPr>
            <w:r>
              <w:rPr>
                <w:rFonts w:ascii="Arial" w:hAnsi="Arial" w:cs="Arial"/>
                <w:rtl/>
                <w:color w:val="253343"/>
                <w:sz w:val="20"/>
                <w:szCs w:val="20"/>
              </w:rPr>
              <w:t xml:space="preserve">مشاهده تحلیل شاخص‌ها، گروه‌ها و بازار</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w:t>
            </w:r>
          </w:p>
        </w:tc>
      </w:tr>
      <w:tr>
        <w:trPr>
          <w:cantSplit/>
        </w:trPr>
        <w:tc>
          <w:tcPr>
            <w:tcW w:w="8200" w:type="dxa"/>
            <w:shd w:fill="F0F5F4"/>
            <w:vAlign w:val="center"/>
          </w:tcPr>
          <w:p>
            <w:pPr>
              <w:bidi/>
              <w:jc w:val="right"/>
              <w:spacing w:after="60" w:line="280" w:lineRule="auto"/>
            </w:pPr>
            <w:r>
              <w:rPr>
                <w:rFonts w:ascii="Arial" w:hAnsi="Arial" w:cs="Arial"/>
                <w:rtl/>
                <w:color w:val="253343"/>
                <w:sz w:val="20"/>
                <w:szCs w:val="20"/>
              </w:rPr>
              <w:t xml:space="preserve">مشاهده اخبار و تقویم اقتصادی</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w:t>
            </w:r>
          </w:p>
        </w:tc>
      </w:tr>
      <w:tr>
        <w:trPr>
          <w:cantSplit/>
        </w:trPr>
        <w:tc>
          <w:tcPr>
            <w:tcW w:w="8200" w:type="dxa"/>
            <w:shd w:fill="FFFFFF"/>
            <w:vAlign w:val="center"/>
          </w:tcPr>
          <w:p>
            <w:pPr>
              <w:bidi/>
              <w:jc w:val="right"/>
              <w:spacing w:after="60" w:line="280" w:lineRule="auto"/>
            </w:pPr>
            <w:r>
              <w:rPr>
                <w:rFonts w:ascii="Arial" w:hAnsi="Arial" w:cs="Arial"/>
                <w:rtl/>
                <w:color w:val="253343"/>
                <w:sz w:val="20"/>
                <w:szCs w:val="20"/>
              </w:rPr>
              <w:t xml:space="preserve">مشاهده منابع، تاریخ داده‌ها و واحدها</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w:t>
            </w:r>
          </w:p>
        </w:tc>
      </w:tr>
      <w:tr>
        <w:trPr>
          <w:cantSplit/>
        </w:trPr>
        <w:tc>
          <w:tcPr>
            <w:tcW w:w="8200" w:type="dxa"/>
            <w:shd w:fill="F0F5F4"/>
            <w:vAlign w:val="center"/>
          </w:tcPr>
          <w:p>
            <w:pPr>
              <w:bidi/>
              <w:jc w:val="right"/>
              <w:spacing w:after="60" w:line="280" w:lineRule="auto"/>
            </w:pPr>
            <w:r>
              <w:rPr>
                <w:rFonts w:ascii="Arial" w:hAnsi="Arial" w:cs="Arial"/>
                <w:rtl/>
                <w:color w:val="253343"/>
                <w:sz w:val="20"/>
                <w:szCs w:val="20"/>
              </w:rPr>
              <w:t xml:space="preserve">مشاهده هشدار کهنگی یا ناقص‌بودن داده</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w:t>
            </w:r>
          </w:p>
        </w:tc>
      </w:tr>
      <w:tr>
        <w:trPr>
          <w:cantSplit/>
        </w:trPr>
        <w:tc>
          <w:tcPr>
            <w:tcW w:w="8200" w:type="dxa"/>
            <w:shd w:fill="FFFFFF"/>
            <w:vAlign w:val="center"/>
          </w:tcPr>
          <w:p>
            <w:pPr>
              <w:bidi/>
              <w:jc w:val="right"/>
              <w:spacing w:after="60" w:line="280" w:lineRule="auto"/>
            </w:pPr>
            <w:r>
              <w:rPr>
                <w:rFonts w:ascii="Arial" w:hAnsi="Arial" w:cs="Arial"/>
                <w:rtl/>
                <w:color w:val="253343"/>
                <w:sz w:val="20"/>
                <w:szCs w:val="20"/>
              </w:rPr>
              <w:t xml:space="preserve">مقایسه هزینه بروکرها: اسپرد، کمیسیون، سواپ و دیویدند</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w:t>
            </w:r>
          </w:p>
        </w:tc>
      </w:tr>
      <w:tr>
        <w:trPr>
          <w:cantSplit/>
        </w:trPr>
        <w:tc>
          <w:tcPr>
            <w:tcW w:w="8200" w:type="dxa"/>
            <w:shd w:fill="F0F5F4"/>
            <w:vAlign w:val="center"/>
          </w:tcPr>
          <w:p>
            <w:pPr>
              <w:bidi/>
              <w:jc w:val="right"/>
              <w:spacing w:after="60" w:line="280" w:lineRule="auto"/>
            </w:pPr>
            <w:r>
              <w:rPr>
                <w:rFonts w:ascii="Arial" w:hAnsi="Arial" w:cs="Arial"/>
                <w:rtl/>
                <w:color w:val="253343"/>
                <w:sz w:val="20"/>
                <w:szCs w:val="20"/>
              </w:rPr>
              <w:t xml:space="preserve">مشاهده تعداد بروکرها و آمار نمونه‌های تجمیعی: کاربران، حساب‌ها و معاملات</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غیرمجاز</w:t>
            </w:r>
          </w:p>
        </w:tc>
      </w:tr>
      <w:tr>
        <w:trPr>
          <w:cantSplit/>
        </w:trPr>
        <w:tc>
          <w:tcPr>
            <w:tcW w:w="8200" w:type="dxa"/>
            <w:shd w:fill="FFFFFF"/>
            <w:vAlign w:val="center"/>
          </w:tcPr>
          <w:p>
            <w:pPr>
              <w:bidi/>
              <w:jc w:val="right"/>
              <w:spacing w:after="60" w:line="280" w:lineRule="auto"/>
            </w:pPr>
            <w:r>
              <w:rPr>
                <w:rFonts w:ascii="Arial" w:hAnsi="Arial" w:cs="Arial"/>
                <w:rtl/>
                <w:color w:val="253343"/>
                <w:sz w:val="20"/>
                <w:szCs w:val="20"/>
              </w:rPr>
              <w:t xml:space="preserve">اتصال متاتریدر و مدیریت اتصال‌های حساب خود</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w:t>
            </w:r>
          </w:p>
        </w:tc>
      </w:tr>
      <w:tr>
        <w:trPr>
          <w:cantSplit/>
        </w:trPr>
        <w:tc>
          <w:tcPr>
            <w:tcW w:w="8200" w:type="dxa"/>
            <w:shd w:fill="F0F5F4"/>
            <w:vAlign w:val="center"/>
          </w:tcPr>
          <w:p>
            <w:pPr>
              <w:bidi/>
              <w:jc w:val="right"/>
              <w:spacing w:after="60" w:line="280" w:lineRule="auto"/>
            </w:pPr>
            <w:r>
              <w:rPr>
                <w:rFonts w:ascii="Arial" w:hAnsi="Arial" w:cs="Arial"/>
                <w:rtl/>
                <w:color w:val="253343"/>
                <w:sz w:val="20"/>
                <w:szCs w:val="20"/>
              </w:rPr>
              <w:t xml:space="preserve">مشاهده اطلاعات مالی، پوزیشن‌ها و سفارش‌های متاتریدر خود</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w:t>
            </w:r>
          </w:p>
        </w:tc>
      </w:tr>
      <w:tr>
        <w:trPr>
          <w:cantSplit/>
        </w:trPr>
        <w:tc>
          <w:tcPr>
            <w:tcW w:w="8200" w:type="dxa"/>
            <w:shd w:fill="FFFFFF"/>
            <w:vAlign w:val="center"/>
          </w:tcPr>
          <w:p>
            <w:pPr>
              <w:bidi/>
              <w:jc w:val="right"/>
              <w:spacing w:after="60" w:line="280" w:lineRule="auto"/>
            </w:pPr>
            <w:r>
              <w:rPr>
                <w:rFonts w:ascii="Arial" w:hAnsi="Arial" w:cs="Arial"/>
                <w:rtl/>
                <w:color w:val="253343"/>
                <w:sz w:val="20"/>
                <w:szCs w:val="20"/>
              </w:rPr>
              <w:t xml:space="preserve">مشاهده تاریخچه کامل Snapshotهای متاتریدر به‌صورت JSON</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 فقط حساب خود</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غیرمجاز</w:t>
            </w:r>
          </w:p>
        </w:tc>
      </w:tr>
      <w:tr>
        <w:trPr>
          <w:cantSplit/>
        </w:trPr>
        <w:tc>
          <w:tcPr>
            <w:tcW w:w="8200" w:type="dxa"/>
            <w:shd w:fill="F0F5F4"/>
            <w:vAlign w:val="center"/>
          </w:tcPr>
          <w:p>
            <w:pPr>
              <w:bidi/>
              <w:jc w:val="right"/>
              <w:spacing w:after="60" w:line="280" w:lineRule="auto"/>
            </w:pPr>
            <w:r>
              <w:rPr>
                <w:rFonts w:ascii="Arial" w:hAnsi="Arial" w:cs="Arial"/>
                <w:rtl/>
                <w:color w:val="253343"/>
                <w:sz w:val="20"/>
                <w:szCs w:val="20"/>
              </w:rPr>
              <w:t xml:space="preserve">مشاهده مراحل پایپلاین: ورودی خام، تبدیل، پاک‌سازی، محاسبات و خروجی</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غیرمجاز</w:t>
            </w:r>
          </w:p>
        </w:tc>
      </w:tr>
      <w:tr>
        <w:trPr>
          <w:cantSplit/>
        </w:trPr>
        <w:tc>
          <w:tcPr>
            <w:tcW w:w="8200" w:type="dxa"/>
            <w:shd w:fill="FFFFFF"/>
            <w:vAlign w:val="center"/>
          </w:tcPr>
          <w:p>
            <w:pPr>
              <w:bidi/>
              <w:jc w:val="right"/>
              <w:spacing w:after="60" w:line="280" w:lineRule="auto"/>
            </w:pPr>
            <w:r>
              <w:rPr>
                <w:rFonts w:ascii="Arial" w:hAnsi="Arial" w:cs="Arial"/>
                <w:rtl/>
                <w:color w:val="253343"/>
                <w:sz w:val="20"/>
                <w:szCs w:val="20"/>
              </w:rPr>
              <w:t xml:space="preserve">مشاهده نسخه‌ها، شناسه اجرا، هش ورودی و جزئیات فنی تحلیل</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غیرمجاز</w:t>
            </w:r>
          </w:p>
        </w:tc>
      </w:tr>
      <w:tr>
        <w:trPr>
          <w:cantSplit/>
        </w:trPr>
        <w:tc>
          <w:tcPr>
            <w:tcW w:w="8200" w:type="dxa"/>
            <w:shd w:fill="F0F5F4"/>
            <w:vAlign w:val="center"/>
          </w:tcPr>
          <w:p>
            <w:pPr>
              <w:bidi/>
              <w:jc w:val="right"/>
              <w:spacing w:after="60" w:line="280" w:lineRule="auto"/>
            </w:pPr>
            <w:r>
              <w:rPr>
                <w:rFonts w:ascii="Arial" w:hAnsi="Arial" w:cs="Arial"/>
                <w:rtl/>
                <w:color w:val="253343"/>
                <w:sz w:val="20"/>
                <w:szCs w:val="20"/>
              </w:rPr>
              <w:t xml:space="preserve">مشاهده درصد و شمارنده‌های داخلی پوشش داده</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غیرمجاز؛ هشدار ناقص‌بودن داده نمایش داده می‌شود</w:t>
            </w:r>
          </w:p>
        </w:tc>
      </w:tr>
      <w:tr>
        <w:trPr>
          <w:cantSplit/>
        </w:trPr>
        <w:tc>
          <w:tcPr>
            <w:tcW w:w="8200" w:type="dxa"/>
            <w:shd w:fill="FFFFFF"/>
            <w:vAlign w:val="center"/>
          </w:tcPr>
          <w:p>
            <w:pPr>
              <w:bidi/>
              <w:jc w:val="right"/>
              <w:spacing w:after="60" w:line="280" w:lineRule="auto"/>
            </w:pPr>
            <w:r>
              <w:rPr>
                <w:rFonts w:ascii="Arial" w:hAnsi="Arial" w:cs="Arial"/>
                <w:rtl/>
                <w:color w:val="253343"/>
                <w:sz w:val="20"/>
                <w:szCs w:val="20"/>
              </w:rPr>
              <w:t xml:space="preserve">اجرای دستی تحلیل و مشاهده وضعیت اجرای آن</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غیرمجاز</w:t>
            </w:r>
          </w:p>
        </w:tc>
      </w:tr>
      <w:tr>
        <w:trPr>
          <w:cantSplit/>
        </w:trPr>
        <w:tc>
          <w:tcPr>
            <w:tcW w:w="8200" w:type="dxa"/>
            <w:shd w:fill="F0F5F4"/>
            <w:vAlign w:val="center"/>
          </w:tcPr>
          <w:p>
            <w:pPr>
              <w:bidi/>
              <w:jc w:val="right"/>
              <w:spacing w:after="60" w:line="280" w:lineRule="auto"/>
            </w:pPr>
            <w:r>
              <w:rPr>
                <w:rFonts w:ascii="Arial" w:hAnsi="Arial" w:cs="Arial"/>
                <w:rtl/>
                <w:color w:val="253343"/>
                <w:sz w:val="20"/>
                <w:szCs w:val="20"/>
              </w:rPr>
              <w:t xml:space="preserve">مشاهده مستندات داخلی معماری تحلیل</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غیرمجاز</w:t>
            </w:r>
          </w:p>
        </w:tc>
      </w:tr>
      <w:tr>
        <w:trPr>
          <w:cantSplit/>
        </w:trPr>
        <w:tc>
          <w:tcPr>
            <w:tcW w:w="8200" w:type="dxa"/>
            <w:shd w:fill="FFFFFF"/>
            <w:vAlign w:val="center"/>
          </w:tcPr>
          <w:p>
            <w:pPr>
              <w:bidi/>
              <w:jc w:val="right"/>
              <w:spacing w:after="60" w:line="280" w:lineRule="auto"/>
            </w:pPr>
            <w:r>
              <w:rPr>
                <w:rFonts w:ascii="Arial" w:hAnsi="Arial" w:cs="Arial"/>
                <w:rtl/>
                <w:color w:val="253343"/>
                <w:sz w:val="20"/>
                <w:szCs w:val="20"/>
              </w:rPr>
              <w:t xml:space="preserve">ورود به Admin Panel</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غیرمجاز</w:t>
            </w:r>
          </w:p>
        </w:tc>
      </w:tr>
      <w:tr>
        <w:trPr>
          <w:cantSplit/>
        </w:trPr>
        <w:tc>
          <w:tcPr>
            <w:tcW w:w="8200" w:type="dxa"/>
            <w:shd w:fill="F0F5F4"/>
            <w:vAlign w:val="center"/>
          </w:tcPr>
          <w:p>
            <w:pPr>
              <w:bidi/>
              <w:jc w:val="right"/>
              <w:spacing w:after="60" w:line="280" w:lineRule="auto"/>
            </w:pPr>
            <w:r>
              <w:rPr>
                <w:rFonts w:ascii="Arial" w:hAnsi="Arial" w:cs="Arial"/>
                <w:rtl/>
                <w:color w:val="253343"/>
                <w:sz w:val="20"/>
                <w:szCs w:val="20"/>
              </w:rPr>
              <w:t xml:space="preserve">مشاهده فهرست کاربران و ادمین‌ها</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 نام کاربری، نقش، وضعیت و تاریخ ثبت‌نام</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غیرمجاز</w:t>
            </w:r>
          </w:p>
        </w:tc>
      </w:tr>
      <w:tr>
        <w:trPr>
          <w:cantSplit/>
        </w:trPr>
        <w:tc>
          <w:tcPr>
            <w:tcW w:w="8200" w:type="dxa"/>
            <w:shd w:fill="FFFFFF"/>
            <w:vAlign w:val="center"/>
          </w:tcPr>
          <w:p>
            <w:pPr>
              <w:bidi/>
              <w:jc w:val="right"/>
              <w:spacing w:after="60" w:line="280" w:lineRule="auto"/>
            </w:pPr>
            <w:r>
              <w:rPr>
                <w:rFonts w:ascii="Arial" w:hAnsi="Arial" w:cs="Arial"/>
                <w:rtl/>
                <w:color w:val="253343"/>
                <w:sz w:val="20"/>
                <w:szCs w:val="20"/>
              </w:rPr>
              <w:t xml:space="preserve">تنظیمات شخصی، قالب داشبورد و واچ‌لیست</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w:t>
            </w:r>
          </w:p>
        </w:tc>
      </w:tr>
      <w:tr>
        <w:trPr>
          <w:cantSplit/>
        </w:trPr>
        <w:tc>
          <w:tcPr>
            <w:tcW w:w="8200" w:type="dxa"/>
            <w:shd w:fill="F0F5F4"/>
            <w:vAlign w:val="center"/>
          </w:tcPr>
          <w:p>
            <w:pPr>
              <w:bidi/>
              <w:jc w:val="right"/>
              <w:spacing w:after="60" w:line="280" w:lineRule="auto"/>
            </w:pPr>
            <w:r>
              <w:rPr>
                <w:rFonts w:ascii="Arial" w:hAnsi="Arial" w:cs="Arial"/>
                <w:rtl/>
                <w:color w:val="253343"/>
                <w:sz w:val="20"/>
                <w:szCs w:val="20"/>
              </w:rPr>
              <w:t xml:space="preserve">استفاده از چت‌بات با داده‌های سایت و متاتریدر متصل خود</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w:t>
            </w:r>
          </w:p>
        </w:tc>
      </w:tr>
      <w:tr>
        <w:trPr>
          <w:cantSplit/>
        </w:trPr>
        <w:tc>
          <w:tcPr>
            <w:tcW w:w="8200" w:type="dxa"/>
            <w:shd w:fill="FFFFFF"/>
            <w:vAlign w:val="center"/>
          </w:tcPr>
          <w:p>
            <w:pPr>
              <w:bidi/>
              <w:jc w:val="right"/>
              <w:spacing w:after="60" w:line="280" w:lineRule="auto"/>
            </w:pPr>
            <w:r>
              <w:rPr>
                <w:rFonts w:ascii="Arial" w:hAnsi="Arial" w:cs="Arial"/>
                <w:rtl/>
                <w:color w:val="253343"/>
                <w:sz w:val="20"/>
                <w:szCs w:val="20"/>
              </w:rPr>
              <w:t xml:space="preserve">مشاهده حساب متاتریدر یا مکالمات خصوصی دیگران</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غیرمجاز</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غیرمجاز</w:t>
            </w:r>
          </w:p>
        </w:tc>
      </w:tr>
      <w:tr>
        <w:trPr>
          <w:cantSplit/>
        </w:trPr>
        <w:tc>
          <w:tcPr>
            <w:tcW w:w="8200" w:type="dxa"/>
            <w:shd w:fill="F0F5F4"/>
            <w:vAlign w:val="center"/>
          </w:tcPr>
          <w:p>
            <w:pPr>
              <w:bidi/>
              <w:jc w:val="right"/>
              <w:spacing w:after="60" w:line="280" w:lineRule="auto"/>
            </w:pPr>
            <w:r>
              <w:rPr>
                <w:rFonts w:ascii="Arial" w:hAnsi="Arial" w:cs="Arial"/>
                <w:rtl/>
                <w:color w:val="253343"/>
                <w:sz w:val="20"/>
                <w:szCs w:val="20"/>
              </w:rPr>
              <w:t xml:space="preserve">مشاهده رمز عبور یا توکن کاربران در پنل</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غیرمجاز</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غیرمجاز</w:t>
            </w:r>
          </w:p>
        </w:tc>
      </w:tr>
      <w:tr>
        <w:trPr>
          <w:cantSplit/>
        </w:trPr>
        <w:tc>
          <w:tcPr>
            <w:tcW w:w="8200" w:type="dxa"/>
            <w:shd w:fill="FFFFFF"/>
            <w:vAlign w:val="center"/>
          </w:tcPr>
          <w:p>
            <w:pPr>
              <w:bidi/>
              <w:jc w:val="right"/>
              <w:spacing w:after="60" w:line="280" w:lineRule="auto"/>
            </w:pPr>
            <w:r>
              <w:rPr>
                <w:rFonts w:ascii="Arial" w:hAnsi="Arial" w:cs="Arial"/>
                <w:rtl/>
                <w:color w:val="253343"/>
                <w:sz w:val="20"/>
                <w:szCs w:val="20"/>
              </w:rPr>
              <w:t xml:space="preserve">ارتقای کاربر به ادمین از فهرست کاربران در پنل</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غیرمجاز</w:t>
            </w:r>
          </w:p>
        </w:tc>
      </w:tr>
      <w:tr>
        <w:trPr>
          <w:cantSplit/>
        </w:trPr>
        <w:tc>
          <w:tcPr>
            <w:tcW w:w="8200" w:type="dxa"/>
            <w:shd w:fill="F0F5F4"/>
            <w:vAlign w:val="center"/>
          </w:tcPr>
          <w:p>
            <w:pPr>
              <w:bidi/>
              <w:jc w:val="right"/>
              <w:spacing w:after="60" w:line="280" w:lineRule="auto"/>
            </w:pPr>
            <w:r>
              <w:rPr>
                <w:rFonts w:ascii="Arial" w:hAnsi="Arial" w:cs="Arial"/>
                <w:rtl/>
                <w:color w:val="253343"/>
                <w:sz w:val="20"/>
                <w:szCs w:val="20"/>
              </w:rPr>
              <w:t xml:space="preserve">تبدیل ادمین دیگر به کاربر</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مجاز؛ به‌جز حساب خود و آخرین ادمین فعال</w:t>
            </w:r>
          </w:p>
        </w:tc>
        <w:tc>
          <w:tcPr>
            <w:tcW w:w="3419" w:type="dxa"/>
            <w:shd w:fill="F0F5F4"/>
            <w:vAlign w:val="center"/>
          </w:tcPr>
          <w:p>
            <w:pPr>
              <w:bidi/>
              <w:jc w:val="right"/>
              <w:spacing w:after="60" w:line="280" w:lineRule="auto"/>
            </w:pPr>
            <w:r>
              <w:rPr>
                <w:rFonts w:ascii="Arial" w:hAnsi="Arial" w:cs="Arial"/>
                <w:rtl/>
                <w:color w:val="253343"/>
                <w:sz w:val="20"/>
                <w:szCs w:val="20"/>
              </w:rPr>
              <w:t xml:space="preserve">غیرمجاز</w:t>
            </w:r>
          </w:p>
        </w:tc>
      </w:tr>
      <w:tr>
        <w:trPr>
          <w:cantSplit/>
        </w:trPr>
        <w:tc>
          <w:tcPr>
            <w:tcW w:w="8200" w:type="dxa"/>
            <w:shd w:fill="FFFFFF"/>
            <w:vAlign w:val="center"/>
          </w:tcPr>
          <w:p>
            <w:pPr>
              <w:bidi/>
              <w:jc w:val="right"/>
              <w:spacing w:after="60" w:line="280" w:lineRule="auto"/>
            </w:pPr>
            <w:r>
              <w:rPr>
                <w:rFonts w:ascii="Arial" w:hAnsi="Arial" w:cs="Arial"/>
                <w:rtl/>
                <w:color w:val="253343"/>
                <w:sz w:val="20"/>
                <w:szCs w:val="20"/>
              </w:rPr>
              <w:t xml:space="preserve">حذف کاربر از پنل</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مجاز با تأیید نام کاربری؛ به‌جز حساب خود و آخرین ادمین فعال</w:t>
            </w:r>
          </w:p>
        </w:tc>
        <w:tc>
          <w:tcPr>
            <w:tcW w:w="3419" w:type="dxa"/>
            <w:shd w:fill="FFFFFF"/>
            <w:vAlign w:val="center"/>
          </w:tcPr>
          <w:p>
            <w:pPr>
              <w:bidi/>
              <w:jc w:val="right"/>
              <w:spacing w:after="60" w:line="280" w:lineRule="auto"/>
            </w:pPr>
            <w:r>
              <w:rPr>
                <w:rFonts w:ascii="Arial" w:hAnsi="Arial" w:cs="Arial"/>
                <w:rtl/>
                <w:color w:val="253343"/>
                <w:sz w:val="20"/>
                <w:szCs w:val="20"/>
              </w:rPr>
              <w:t xml:space="preserve">غیرمجاز</w:t>
            </w:r>
          </w:p>
        </w:tc>
      </w:tr>
    </w:tbl>
    <w:p>
      <w:pPr>
        <w:bidi/>
        <w:jc w:val="right"/>
        <w:spacing w:after="120" w:line="280" w:lineRule="auto"/>
      </w:pPr>
      <w:r>
        <w:rPr>
          <w:rFonts w:ascii="Arial" w:hAnsi="Arial" w:cs="Arial"/>
          <w:rtl/>
          <w:b/>
          <w:bCs/>
          <w:color w:val="176B56"/>
          <w:sz w:val="25"/>
          <w:szCs w:val="25"/>
        </w:rPr>
        <w:t xml:space="preserve">قواعد نقش‌ها</w:t>
      </w:r>
    </w:p>
    <w:p>
      <w:pPr>
        <w:bidi/>
        <w:jc w:val="right"/>
        <w:spacing w:after="100" w:line="280" w:lineRule="auto"/>
      </w:pPr>
      <w:r>
        <w:rPr>
          <w:rFonts w:ascii="Arial" w:hAnsi="Arial" w:cs="Arial"/>
          <w:rtl/>
          <w:color w:val="253343"/>
          <w:sz w:val="22"/>
          <w:szCs w:val="22"/>
        </w:rPr>
        <w:t xml:space="preserve">ثبت‌نام جدید با نقش user انجام می‌شود. مهاجرت یک‌باره، حساب‌های موجود در زمان اجرای مهاجرت را admin می‌کند؛ اجرای دوباره آن حساب‌های جدید را ادمین نمی‌کند. ادمین می‌تواند از فهرست کاربران، کاربر را به ادمین ارتقا دهد. نقش مدیریتی مستقل از اشتراک پولی است.</w:t>
      </w:r>
    </w:p>
    <w:p>
      <w:pPr>
        <w:bidi/>
        <w:jc w:val="right"/>
        <w:spacing w:after="120" w:line="280" w:lineRule="auto"/>
      </w:pPr>
      <w:r>
        <w:rPr>
          <w:rFonts w:ascii="Arial" w:hAnsi="Arial" w:cs="Arial"/>
          <w:rtl/>
          <w:b/>
          <w:bCs/>
          <w:color w:val="176B56"/>
          <w:sz w:val="25"/>
          <w:szCs w:val="25"/>
        </w:rPr>
        <w:t xml:space="preserve">اعمال محدودیت‌ها</w:t>
      </w:r>
    </w:p>
    <w:p>
      <w:pPr>
        <w:bidi/>
        <w:jc w:val="right"/>
        <w:spacing w:after="100" w:line="280" w:lineRule="auto"/>
      </w:pPr>
      <w:r>
        <w:rPr>
          <w:rFonts w:ascii="Arial" w:hAnsi="Arial" w:cs="Arial"/>
          <w:rtl/>
          <w:color w:val="253343"/>
          <w:sz w:val="22"/>
          <w:szCs w:val="22"/>
        </w:rPr>
        <w:t xml:space="preserve">دسترسی‌های مدیریتی در فرانت‌اند و API کنترل می‌شوند؛ واردکردن مستقیم آدرس یا فراخوانی API توسط کاربر عادی مجوز ایجاد نمی‌کند. ادمین امکانات قبلی را حفظ کرده و ابزارهای فنی در پنل مدیریت جمع شده‌اند. مالکیت داده‌های خصوصی متاتریدر و مکالمات برای ادمین نیز رعایت می‌شود.</w:t>
      </w:r>
    </w:p>
    <w:p>
      <w:pPr>
        <w:bidi/>
        <w:jc w:val="right"/>
        <w:spacing w:after="100" w:line="280" w:lineRule="auto"/>
      </w:pPr>
      <w:r>
        <w:rPr>
          <w:rFonts w:ascii="Arial" w:hAnsi="Arial" w:cs="Arial"/>
          <w:rtl/>
          <w:color w:val="253343"/>
          <w:sz w:val="22"/>
          <w:szCs w:val="22"/>
        </w:rPr>
        <w:t xml:space="preserve">حذف حساب به‌صورت منطقی است: حساب از فهرست خارج می‌شود، ورود و نشست‌هایش باطل می‌شوند و اتصال متاتریدر آن قطع می‌شود. سوابق مالی و مکالمات نگهداری می‌شوند و نام کاربری و ایمیل برای جلوگیری از تصاحب دوباره هویت محفوظ می‌مانند.</w:t>
      </w:r>
    </w:p>
    <w:p>
      <w:pPr>
        <w:bidi/>
        <w:jc w:val="right"/>
        <w:spacing w:after="120" w:line="280" w:lineRule="auto"/>
      </w:pPr>
      <w:r>
        <w:rPr>
          <w:rFonts w:ascii="Arial" w:hAnsi="Arial" w:cs="Arial"/>
          <w:rtl/>
          <w:b/>
          <w:bCs/>
          <w:color w:val="176B56"/>
          <w:sz w:val="25"/>
          <w:szCs w:val="25"/>
        </w:rPr>
        <w:t xml:space="preserve">وضعیت انتشار</w:t>
      </w:r>
    </w:p>
    <w:p>
      <w:pPr>
        <w:bidi/>
        <w:jc w:val="right"/>
        <w:spacing w:after="100" w:line="280" w:lineRule="auto"/>
      </w:pPr>
      <w:r>
        <w:rPr>
          <w:rFonts w:ascii="Arial" w:hAnsi="Arial" w:cs="Arial"/>
          <w:rtl/>
          <w:color w:val="253343"/>
          <w:sz w:val="22"/>
          <w:szCs w:val="22"/>
        </w:rPr>
        <w:t xml:space="preserve">تغییرات و مهاجرت روی محیط محلی اجرا شده‌اند؛ هنوز روی پروداکشن اعمال نشده‌اند. مشاهده کاربران اصلی و ارتقای حساب‌های قدیمی آن‌ها نیازمند اعمال تغییرات و اجرای مهاجرت روی دیتابیس اصلی است.</w:t>
      </w:r>
    </w:p>
    <w:sectPr>
      <w:pgSz w:w="16838" w:h="11906" w:orient="landscape"/>
      <w:pgMar w:top="750" w:right="900" w:bottom="750" w:left="900"/>
      <w:bidi/>
    </w:sectPr>
  </w:body>
</w:document>
</file>