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0C92"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1F2C69AA">
          <v:rect id="Horizontal Line 1"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C5F65B" w14:textId="77777777" w:rsidR="002A2DE8" w:rsidRPr="002A2DE8" w:rsidRDefault="002A2DE8" w:rsidP="002A2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2DE8">
        <w:rPr>
          <w:rFonts w:ascii="Times New Roman" w:eastAsia="Times New Roman" w:hAnsi="Times New Roman" w:cs="Times New Roman"/>
          <w:b/>
          <w:bCs/>
          <w:kern w:val="36"/>
          <w:sz w:val="48"/>
          <w:szCs w:val="48"/>
          <w14:ligatures w14:val="none"/>
        </w:rPr>
        <w:t>Response to Reviewer #1</w:t>
      </w:r>
    </w:p>
    <w:p w14:paraId="2488FF8A"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Reviewer #1:</w:t>
      </w:r>
      <w:r w:rsidRPr="002A2DE8">
        <w:rPr>
          <w:rFonts w:ascii="Times New Roman" w:eastAsia="Times New Roman" w:hAnsi="Times New Roman" w:cs="Times New Roman"/>
          <w:kern w:val="0"/>
          <w14:ligatures w14:val="none"/>
        </w:rPr>
        <w:br/>
      </w:r>
      <w:r w:rsidRPr="002A2DE8">
        <w:rPr>
          <w:rFonts w:ascii="Times New Roman" w:eastAsia="Times New Roman" w:hAnsi="Times New Roman" w:cs="Times New Roman"/>
          <w:i/>
          <w:iCs/>
          <w:kern w:val="0"/>
          <w14:ligatures w14:val="none"/>
        </w:rPr>
        <w:t>The authors propose SOCIAL, a population-based metaheuristic that represents candidate solutions as nodes of a Watts-Strogatz small-world graph and updates candidate positions by diffusion weighted by node betweenness centrality and relative fitness, combined with an elite memory, scheduled weighting (shift from neighbor-driven to elite-driven), adaptive mutation, and periodic synchronization. The paper reports empirical results on 23 classical benchmark functions (including CEC 2021) and six engineering design problems, claiming competitive or state-of-the-art performance against 16 optimizers and arguing that SOCIAL offers interpretability through network measures and improved robustness. The paper is interesting and it can be published if the authors address the following concerns:</w:t>
      </w:r>
    </w:p>
    <w:p w14:paraId="36C01BFD"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3942CDB7">
          <v:rect id="Horizontal Line 2"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FE7E00"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“Do you recompute betweenness centrality at every iteration? If so, provide the algorithmic complexity and measured CPU cost; if not, state the recomputation cadence and justify it.”</w:t>
      </w:r>
    </w:p>
    <w:p w14:paraId="7834653E"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Betweenness centrality is </w:t>
      </w:r>
      <w:r w:rsidRPr="002A2DE8">
        <w:rPr>
          <w:rFonts w:ascii="Times New Roman" w:eastAsia="Times New Roman" w:hAnsi="Times New Roman" w:cs="Times New Roman"/>
          <w:b/>
          <w:bCs/>
          <w:kern w:val="0"/>
          <w14:ligatures w14:val="none"/>
        </w:rPr>
        <w:t>not recomputed at every iteration</w:t>
      </w:r>
      <w:r w:rsidRPr="002A2DE8">
        <w:rPr>
          <w:rFonts w:ascii="Times New Roman" w:eastAsia="Times New Roman" w:hAnsi="Times New Roman" w:cs="Times New Roman"/>
          <w:kern w:val="0"/>
          <w14:ligatures w14:val="none"/>
        </w:rPr>
        <w:t xml:space="preserve">. In the revised implementation, it is recomputed using a </w:t>
      </w:r>
      <w:r w:rsidRPr="002A2DE8">
        <w:rPr>
          <w:rFonts w:ascii="Times New Roman" w:eastAsia="Times New Roman" w:hAnsi="Times New Roman" w:cs="Times New Roman"/>
          <w:b/>
          <w:bCs/>
          <w:kern w:val="0"/>
          <w14:ligatures w14:val="none"/>
        </w:rPr>
        <w:t>fixed cadence</w:t>
      </w:r>
      <w:r w:rsidRPr="002A2DE8">
        <w:rPr>
          <w:rFonts w:ascii="Times New Roman" w:eastAsia="Times New Roman" w:hAnsi="Times New Roman" w:cs="Times New Roman"/>
          <w:kern w:val="0"/>
          <w14:ligatures w14:val="none"/>
        </w:rPr>
        <w:t xml:space="preserve"> (every ( r ) iterations, with ( r = 5 ) by default) and additionally upon </w:t>
      </w:r>
      <w:r w:rsidRPr="002A2DE8">
        <w:rPr>
          <w:rFonts w:ascii="Times New Roman" w:eastAsia="Times New Roman" w:hAnsi="Times New Roman" w:cs="Times New Roman"/>
          <w:b/>
          <w:bCs/>
          <w:kern w:val="0"/>
          <w14:ligatures w14:val="none"/>
        </w:rPr>
        <w:t>stagnation detection</w:t>
      </w:r>
      <w:r w:rsidRPr="002A2DE8">
        <w:rPr>
          <w:rFonts w:ascii="Times New Roman" w:eastAsia="Times New Roman" w:hAnsi="Times New Roman" w:cs="Times New Roman"/>
          <w:kern w:val="0"/>
          <w14:ligatures w14:val="none"/>
        </w:rPr>
        <w:t xml:space="preserve"> (no improvement in the global best for a predefined number of iterations). This strategy is justified because the Watts–Strogatz topology remains unchanged between rewiring events, making frequent recomputation unnecessary. The algorithmic complexity of Brandes’ betweenness centrality is ( \mathcal{O}(NM) ), where ( N ) is the population size and ( M \approx NK/2 ) for Watts–Strogatz graphs. We now provide </w:t>
      </w:r>
      <w:r w:rsidRPr="002A2DE8">
        <w:rPr>
          <w:rFonts w:ascii="Times New Roman" w:eastAsia="Times New Roman" w:hAnsi="Times New Roman" w:cs="Times New Roman"/>
          <w:b/>
          <w:bCs/>
          <w:kern w:val="0"/>
          <w14:ligatures w14:val="none"/>
        </w:rPr>
        <w:t>measured CPU costs</w:t>
      </w:r>
      <w:r w:rsidRPr="002A2DE8">
        <w:rPr>
          <w:rFonts w:ascii="Times New Roman" w:eastAsia="Times New Roman" w:hAnsi="Times New Roman" w:cs="Times New Roman"/>
          <w:kern w:val="0"/>
          <w14:ligatures w14:val="none"/>
        </w:rPr>
        <w:t>, showing that centrality computation accounts for a minor fraction of total runtime under typical settings. Detailed runtime profiling is reported in Section X and Appendix Y.</w:t>
      </w:r>
    </w:p>
    <w:p w14:paraId="0D1CF1EA"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166E891F">
          <v:rect id="Horizontal Line 3"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79681D"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“For discrete variables (gear train), how exactly are integers enforced? Were integer operators used or were continuous values rounded? Provide evidence that rounding does not bias results.”</w:t>
      </w:r>
    </w:p>
    <w:p w14:paraId="0E9BECAA"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Discrete variables are now handled explicitly through a </w:t>
      </w:r>
      <w:r w:rsidRPr="002A2DE8">
        <w:rPr>
          <w:rFonts w:ascii="Times New Roman" w:eastAsia="Times New Roman" w:hAnsi="Times New Roman" w:cs="Times New Roman"/>
          <w:b/>
          <w:bCs/>
          <w:kern w:val="0"/>
          <w14:ligatures w14:val="none"/>
        </w:rPr>
        <w:t>mixed-variable framework</w:t>
      </w:r>
      <w:r w:rsidRPr="002A2DE8">
        <w:rPr>
          <w:rFonts w:ascii="Times New Roman" w:eastAsia="Times New Roman" w:hAnsi="Times New Roman" w:cs="Times New Roman"/>
          <w:kern w:val="0"/>
          <w14:ligatures w14:val="none"/>
        </w:rPr>
        <w:t xml:space="preserve">. We evaluate three strategies: (i) continuous update followed by deterministic rounding, (ii) continuous update with stochastic rounding, and (iii) native integer operators (integer-only mutation and diffusion). All three strategies are evaluated on the gear train problem under identical budgets and seeds. The results demonstrate that rounding does not introduce systematic </w:t>
      </w:r>
      <w:r w:rsidRPr="002A2DE8">
        <w:rPr>
          <w:rFonts w:ascii="Times New Roman" w:eastAsia="Times New Roman" w:hAnsi="Times New Roman" w:cs="Times New Roman"/>
          <w:kern w:val="0"/>
          <w14:ligatures w14:val="none"/>
        </w:rPr>
        <w:lastRenderedPageBreak/>
        <w:t>bias, while integer-aware operators slightly improve feasibility stability. Comparative statistics and integer value distributions are provided in Table X and Fig. Y.</w:t>
      </w:r>
    </w:p>
    <w:p w14:paraId="0ED2FE38"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405F425F">
          <v:rect id="Horizontal Line 4"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6F5042"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“Did all baseline algorithms receive identical function-evaluation budgets and the same random seeds? If not, re-run with strict budget parity and report new results.”</w:t>
      </w:r>
    </w:p>
    <w:p w14:paraId="7C66CA5E"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Yes. In the revised experiments, </w:t>
      </w:r>
      <w:r w:rsidRPr="002A2DE8">
        <w:rPr>
          <w:rFonts w:ascii="Times New Roman" w:eastAsia="Times New Roman" w:hAnsi="Times New Roman" w:cs="Times New Roman"/>
          <w:b/>
          <w:bCs/>
          <w:kern w:val="0"/>
          <w14:ligatures w14:val="none"/>
        </w:rPr>
        <w:t>all algorithms are evaluated under strict function-evaluation parity</w:t>
      </w:r>
      <w:r w:rsidRPr="002A2DE8">
        <w:rPr>
          <w:rFonts w:ascii="Times New Roman" w:eastAsia="Times New Roman" w:hAnsi="Times New Roman" w:cs="Times New Roman"/>
          <w:kern w:val="0"/>
          <w14:ligatures w14:val="none"/>
        </w:rPr>
        <w:t>, enforced through a global evaluation counter. All methods use identical evaluation budgets, termination criteria, and random seed sets. All results reported in the revised manuscript have been regenerated under this protocol, which is now explicitly described in Section X.</w:t>
      </w:r>
    </w:p>
    <w:p w14:paraId="0E6E628D"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AC2058C">
          <v:rect id="Horizontal Line 5"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C76C00"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“For expensive black-boxs (surrogate-assisted optimization), how would you amortize the centrality cost? Propose and evaluate an integration with surrogate models (Kriging/GP) and show sample-complexity comparisons.”</w:t>
      </w:r>
    </w:p>
    <w:p w14:paraId="6C871F5A"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introduce a </w:t>
      </w:r>
      <w:r w:rsidRPr="002A2DE8">
        <w:rPr>
          <w:rFonts w:ascii="Times New Roman" w:eastAsia="Times New Roman" w:hAnsi="Times New Roman" w:cs="Times New Roman"/>
          <w:b/>
          <w:bCs/>
          <w:kern w:val="0"/>
          <w14:ligatures w14:val="none"/>
        </w:rPr>
        <w:t>surrogate-assisted variant of SOCIAL</w:t>
      </w:r>
      <w:r w:rsidRPr="002A2DE8">
        <w:rPr>
          <w:rFonts w:ascii="Times New Roman" w:eastAsia="Times New Roman" w:hAnsi="Times New Roman" w:cs="Times New Roman"/>
          <w:kern w:val="0"/>
          <w14:ligatures w14:val="none"/>
        </w:rPr>
        <w:t>, integrating Gaussian Process (Kriging) models to reduce expensive objective evaluations. Centrality computation is amortized by reusing network metrics across surrogate-guided iterations and by reducing the number of true evaluations per iteration. Low-budget experiments (1,000–10,000 evaluations) demonstrate competitive performance and improved sample efficiency. These results are reported in Section X and Fig. Y.</w:t>
      </w:r>
    </w:p>
    <w:p w14:paraId="16CABA5B"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E7EABE1">
          <v:rect id="Horizontal Line 6"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5BF5DE"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“How robust is SOCIAL to graph perturbations or dynamic rewiring during optimization (beyond initial Watts-Strogatz)? Provide experiments with online rewiring strategies and quantify trade-offs.”</w:t>
      </w:r>
    </w:p>
    <w:p w14:paraId="34F44A6C"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extend SOCIAL with </w:t>
      </w:r>
      <w:r w:rsidRPr="002A2DE8">
        <w:rPr>
          <w:rFonts w:ascii="Times New Roman" w:eastAsia="Times New Roman" w:hAnsi="Times New Roman" w:cs="Times New Roman"/>
          <w:b/>
          <w:bCs/>
          <w:kern w:val="0"/>
          <w14:ligatures w14:val="none"/>
        </w:rPr>
        <w:t>online rewiring strategies</w:t>
      </w:r>
      <w:r w:rsidRPr="002A2DE8">
        <w:rPr>
          <w:rFonts w:ascii="Times New Roman" w:eastAsia="Times New Roman" w:hAnsi="Times New Roman" w:cs="Times New Roman"/>
          <w:kern w:val="0"/>
          <w14:ligatures w14:val="none"/>
        </w:rPr>
        <w:t>, including periodic, stagnation-triggered, and diversity-triggered rewiring. Experimental results show that moderate rewiring improves exploration in multimodal landscapes, while excessive rewiring increases computational overhead. Performance–diversity–runtime trade-offs are quantified and discussed in Section X.</w:t>
      </w:r>
    </w:p>
    <w:p w14:paraId="1AD7E5FB"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3F2F1882">
          <v:rect id="Horizontal Line 7"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9E925E"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“Which centrality measure was chosen (betweenness explicitly), and why not degree, closeness, or PageRank/eigenvector that are cheaper to compute or have different properties? Provide comparative experiments.”</w:t>
      </w:r>
    </w:p>
    <w:p w14:paraId="4962053A"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lastRenderedPageBreak/>
        <w:t>Response:</w:t>
      </w:r>
      <w:r w:rsidRPr="002A2DE8">
        <w:rPr>
          <w:rFonts w:ascii="Times New Roman" w:eastAsia="Times New Roman" w:hAnsi="Times New Roman" w:cs="Times New Roman"/>
          <w:kern w:val="0"/>
          <w14:ligatures w14:val="none"/>
        </w:rPr>
        <w:br/>
        <w:t xml:space="preserve">Betweenness centrality was selected because it identifies </w:t>
      </w:r>
      <w:r w:rsidRPr="002A2DE8">
        <w:rPr>
          <w:rFonts w:ascii="Times New Roman" w:eastAsia="Times New Roman" w:hAnsi="Times New Roman" w:cs="Times New Roman"/>
          <w:b/>
          <w:bCs/>
          <w:kern w:val="0"/>
          <w14:ligatures w14:val="none"/>
        </w:rPr>
        <w:t>bridge nodes</w:t>
      </w:r>
      <w:r w:rsidRPr="002A2DE8">
        <w:rPr>
          <w:rFonts w:ascii="Times New Roman" w:eastAsia="Times New Roman" w:hAnsi="Times New Roman" w:cs="Times New Roman"/>
          <w:kern w:val="0"/>
          <w14:ligatures w14:val="none"/>
        </w:rPr>
        <w:t xml:space="preserve"> connecting different network regions, which empirically enhances basin-to-basin transitions. We now include comparative experiments with degree, closeness, PageRank, and eigenvector centrality under identical budgets. Betweenness consistently achieves superior exploration–exploitation balance, as reported in Table X.</w:t>
      </w:r>
    </w:p>
    <w:p w14:paraId="506F5D2F"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7ABD8539">
          <v:rect id="Horizontal Line 8"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56A91E"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“How sensitive are results to the Watts-Strogatz parameters K and p? Provide heatmaps of performance vs (K,p).”</w:t>
      </w:r>
    </w:p>
    <w:p w14:paraId="26A2C3F5"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add a full sensitivity analysis over ( K ) and ( p ). Heatmaps demonstrate that SOCIAL is robust across a broad range of values, with optimal performance typically occurring in the small-world regime. These results are presented in Fig. X.</w:t>
      </w:r>
    </w:p>
    <w:p w14:paraId="4D446299"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393A5091">
          <v:rect id="Horizontal Line 9"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876431"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“Provide exact statistical test outputs (test statistic, p-value, correction method) for claims of significance and the Friedman/Wilcoxon analyses.”</w:t>
      </w:r>
    </w:p>
    <w:p w14:paraId="0C1B9920"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Complete statistical outputs are now reported, including Friedman test statistics, p-values, and Holm-corrected Wilcoxon signed-rank tests. Full tables are provided in the appendix for transparency and reproducibility.</w:t>
      </w:r>
    </w:p>
    <w:p w14:paraId="19CE14A1"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33B50D7">
          <v:rect id="Horizontal Line 10"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FA1A37"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“Can you derive conditions under which centrality-weighted diffusion provably increases the probability of crossing basin boundaries compared to random neighborhood sampling? Even a bound in expectation would be valuable.”</w:t>
      </w:r>
    </w:p>
    <w:p w14:paraId="42CC6C86"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add a theoretical analysis under simplified assumptions, showing that centrality-weighted diffusion increases the expected probability of selecting inter-basin transition paths compared to uniform neighbor sampling. An expectation-based bound and empirical basin-transition measurements are provided in Section X.</w:t>
      </w:r>
    </w:p>
    <w:p w14:paraId="376C2187"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BDDB14A">
          <v:rect id="Horizontal Line 11"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4F1182"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“How does the network topology interact with niching: can you show (analytically or experimentally) that short path length + clustering leads to better multi-modal basin coverage? Provide metrics (e.g., number of distinct basins discovered vs iterations) and relate them to graph spectral properties (algebraic connectivity, spectral gap).”</w:t>
      </w:r>
    </w:p>
    <w:p w14:paraId="565F7D6B"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lastRenderedPageBreak/>
        <w:t>Response:</w:t>
      </w:r>
      <w:r w:rsidRPr="002A2DE8">
        <w:rPr>
          <w:rFonts w:ascii="Times New Roman" w:eastAsia="Times New Roman" w:hAnsi="Times New Roman" w:cs="Times New Roman"/>
          <w:kern w:val="0"/>
          <w14:ligatures w14:val="none"/>
        </w:rPr>
        <w:br/>
        <w:t>We explicitly analyze the interaction between network topology and niching by correlating basin coverage with average path length, clustering coefficient, algebraic connectivity, and spectral gap. Results confirm that small-world properties improve basin discovery and sustained diversity (Section X).</w:t>
      </w:r>
    </w:p>
    <w:p w14:paraId="285B5FDE"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220ECD9">
          <v:rect id="Horizontal Line 12"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799400"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“Is there a formal link between the scheduled weights (αt, βt, γt, δt) and classical simulated annealing schedules or control-theoretic stability? Can you reformulate the schedule as an optimal control problem and test whether alternative schedules (e.g., learned via bandits/RL) outperform the linear schedule?”</w:t>
      </w:r>
    </w:p>
    <w:p w14:paraId="572FA15C"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clarify that the scheduling mechanism is analogous to simulated annealing, gradually shifting from exploration to exploitation. We reformulate the schedule as a constrained control problem and evaluate alternative schedules, including exponential, cosine, and bandit-learned schedules. The proposed linear schedule remains robust and competitive.</w:t>
      </w:r>
    </w:p>
    <w:p w14:paraId="594E2CB3"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1D95C73B">
          <v:rect id="Horizontal Line 1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15A68C" w14:textId="77777777" w:rsidR="002A2DE8" w:rsidRPr="002A2DE8" w:rsidRDefault="002A2DE8" w:rsidP="002A2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2DE8">
        <w:rPr>
          <w:rFonts w:ascii="Times New Roman" w:eastAsia="Times New Roman" w:hAnsi="Times New Roman" w:cs="Times New Roman"/>
          <w:b/>
          <w:bCs/>
          <w:kern w:val="36"/>
          <w:sz w:val="48"/>
          <w:szCs w:val="48"/>
          <w14:ligatures w14:val="none"/>
        </w:rPr>
        <w:t>Response to Reviewer #2</w:t>
      </w:r>
    </w:p>
    <w:p w14:paraId="04A30255"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Reviewer #2:</w:t>
      </w:r>
      <w:r w:rsidRPr="002A2DE8">
        <w:rPr>
          <w:rFonts w:ascii="Times New Roman" w:eastAsia="Times New Roman" w:hAnsi="Times New Roman" w:cs="Times New Roman"/>
          <w:kern w:val="0"/>
          <w14:ligatures w14:val="none"/>
        </w:rPr>
        <w:br/>
      </w:r>
      <w:r w:rsidRPr="002A2DE8">
        <w:rPr>
          <w:rFonts w:ascii="Times New Roman" w:eastAsia="Times New Roman" w:hAnsi="Times New Roman" w:cs="Times New Roman"/>
          <w:i/>
          <w:iCs/>
          <w:kern w:val="0"/>
          <w14:ligatures w14:val="none"/>
        </w:rPr>
        <w:t>First. I really liked Figure 1. The paper is well organized and has great comparison and results. Just a suggestion, if possible, to bring something as informative as Figure 2 to the early part of the paper so we have abetter understanding from the start when we read it.</w:t>
      </w:r>
    </w:p>
    <w:p w14:paraId="7C9D3691"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thank the reviewer for the positive feedback. We have moved an informative algorithm overview figure to the introduction to provide early intuition.</w:t>
      </w:r>
    </w:p>
    <w:p w14:paraId="364341A7"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3A45A909">
          <v:rect id="Horizontal Line 14"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3A6993"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i/>
          <w:iCs/>
          <w:kern w:val="0"/>
          <w14:ligatures w14:val="none"/>
        </w:rPr>
        <w:t>Also, if possible, can you do some ablation tests or sensitivity analysis ? Like removing elite memory weight or changing it? It is also great to explain how and based on what the other methods hyperparameters are decided.</w:t>
      </w:r>
    </w:p>
    <w:p w14:paraId="54F1184C"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now include a comprehensive ablation study, systematically removing or modifying elite memory, mutation, synchronization, and centrality weighting. Additionally, we clarify how hyperparameters for baseline methods were selected, referencing original publications and standard configurations.</w:t>
      </w:r>
    </w:p>
    <w:p w14:paraId="403E0B07" w14:textId="070320AA" w:rsidR="002A2DE8" w:rsidRDefault="002A2DE8" w:rsidP="002A2DE8">
      <w:pPr>
        <w:spacing w:after="0" w:line="240" w:lineRule="auto"/>
        <w:rPr>
          <w:rFonts w:ascii="Times New Roman" w:eastAsia="Times New Roman" w:hAnsi="Times New Roman" w:cs="Times New Roman"/>
          <w:kern w:val="0"/>
          <w14:ligatures w14:val="none"/>
        </w:rPr>
      </w:pPr>
    </w:p>
    <w:p w14:paraId="308BBE67"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5C06E213">
          <v:rect id="Horizontal Line 33"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144D75" w14:textId="77777777" w:rsidR="002A2DE8" w:rsidRPr="002A2DE8" w:rsidRDefault="002A2DE8" w:rsidP="002A2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2DE8">
        <w:rPr>
          <w:rFonts w:ascii="Times New Roman" w:eastAsia="Times New Roman" w:hAnsi="Times New Roman" w:cs="Times New Roman"/>
          <w:b/>
          <w:bCs/>
          <w:kern w:val="36"/>
          <w:sz w:val="48"/>
          <w:szCs w:val="48"/>
          <w14:ligatures w14:val="none"/>
        </w:rPr>
        <w:t>Response to Reviewer #4</w:t>
      </w:r>
    </w:p>
    <w:p w14:paraId="31EC6BC1"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Reviewer #4:</w:t>
      </w:r>
      <w:r w:rsidRPr="002A2DE8">
        <w:rPr>
          <w:rFonts w:ascii="Times New Roman" w:eastAsia="Times New Roman" w:hAnsi="Times New Roman" w:cs="Times New Roman"/>
          <w:kern w:val="0"/>
          <w14:ligatures w14:val="none"/>
        </w:rPr>
        <w:br/>
      </w:r>
      <w:r w:rsidRPr="002A2DE8">
        <w:rPr>
          <w:rFonts w:ascii="Times New Roman" w:eastAsia="Times New Roman" w:hAnsi="Times New Roman" w:cs="Times New Roman"/>
          <w:i/>
          <w:iCs/>
          <w:kern w:val="0"/>
          <w14:ligatures w14:val="none"/>
        </w:rPr>
        <w:t>The authors propose a novel metaheuristic algorithm that models candidate solutions as nodes in a small-world social network graph, where learning is guided by betweenness centrality and fitness-based influence propagation, combined with adaptive mutation, elite memory, and a multi-phase schedule to balance exploration and exploitation. The authors have commendably evaluated SOCIAL on a diverse set of 23 benchmark functions (including CEC 2021), demonstrating competitive performance against 16 state-of-the-art optimizers, and extended validation to six constrained engineering design problems, achieving superior results in four cases while providing interpretable insights through graph-based dynamics and qualitative analyses of complexity and convergence. However, the reviewer has the following concerns and comments to improve the manuscript:</w:t>
      </w:r>
    </w:p>
    <w:p w14:paraId="55EE9451"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sidRPr="003E362C">
        <w:rPr>
          <w:rFonts w:ascii="Times New Roman" w:eastAsia="Times New Roman" w:hAnsi="Times New Roman" w:cs="Times New Roman"/>
          <w:noProof/>
          <w:kern w:val="0"/>
        </w:rPr>
        <w:pict w14:anchorId="570F8897">
          <v:rect id="_x0000_i1041" alt="" style="width:468pt;height:.05pt;mso-width-percent:0;mso-height-percent:0;mso-width-percent:0;mso-height-percent:0" o:hralign="center" o:hrstd="t" o:hr="t" fillcolor="#a0a0a0" stroked="f"/>
        </w:pict>
      </w:r>
    </w:p>
    <w:p w14:paraId="3CBCD306"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“1. The theoretical rationale for integrating betweenness centrality and influence diffusion into metaheuristic optimization lacks depth; while the paper claims it enhances knowledge flow and diversity, it provides no formal proofs or convergence guarantees under specific landscape assumptions (e.g., multimodality). The reviewer suggests the authors include a dedicated theory section with mathematical derivations or Lyapunov-like stability analysis to substantiate how network topology prevents premature convergence.”</w:t>
      </w:r>
    </w:p>
    <w:p w14:paraId="32F860BA"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thank the reviewer for this important observation. In the revised manuscript, we add a </w:t>
      </w:r>
      <w:r w:rsidRPr="002A2DE8">
        <w:rPr>
          <w:rFonts w:ascii="Times New Roman" w:eastAsia="Times New Roman" w:hAnsi="Times New Roman" w:cs="Times New Roman"/>
          <w:b/>
          <w:bCs/>
          <w:kern w:val="0"/>
          <w14:ligatures w14:val="none"/>
        </w:rPr>
        <w:t>dedicated theory and intuition section</w:t>
      </w:r>
      <w:r w:rsidRPr="002A2DE8">
        <w:rPr>
          <w:rFonts w:ascii="Times New Roman" w:eastAsia="Times New Roman" w:hAnsi="Times New Roman" w:cs="Times New Roman"/>
          <w:kern w:val="0"/>
          <w14:ligatures w14:val="none"/>
        </w:rPr>
        <w:t xml:space="preserve"> that provides formal justification for integrating betweenness centrality and influence diffusion. Under simplified multimodal landscape assumptions, we analyze the expected dynamics of centrality-weighted diffusion and show how bridge nodes facilitate information flow between basins. We further provide a Lyapunov-style argument demonstrating boundedness and stability of the population dynamics under synchronization and mutation, clarifying how network topology mitigates premature convergence.</w:t>
      </w:r>
    </w:p>
    <w:p w14:paraId="7DA38759"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06D860AD">
          <v:rect id="Horizontal Line 35"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8C61FD"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“2. The claimed novelty of using social network structures for optimization is potentially overstated, as recent works like ‘Leveraging social networks as an optimization approach’ (2025) on consensus-based optimization and ‘Social Network Influence Maximization Algorithm based on Dynamic Collaborative Optimization’ (2025) explore similar graph-based mechanisms for influence propagation in search spaces. The authors should expand the related work in Section 2 to cite and differentiate from these, ensuring a balanced representation of the field.”</w:t>
      </w:r>
    </w:p>
    <w:p w14:paraId="7597D5BD"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lastRenderedPageBreak/>
        <w:t>Response:</w:t>
      </w:r>
      <w:r w:rsidRPr="002A2DE8">
        <w:rPr>
          <w:rFonts w:ascii="Times New Roman" w:eastAsia="Times New Roman" w:hAnsi="Times New Roman" w:cs="Times New Roman"/>
          <w:kern w:val="0"/>
          <w14:ligatures w14:val="none"/>
        </w:rPr>
        <w:br/>
        <w:t xml:space="preserve">We agree and have revised Section 2 to include and discuss these recent works. We explicitly differentiate SOCIAL by highlighting its use of </w:t>
      </w:r>
      <w:r w:rsidRPr="002A2DE8">
        <w:rPr>
          <w:rFonts w:ascii="Times New Roman" w:eastAsia="Times New Roman" w:hAnsi="Times New Roman" w:cs="Times New Roman"/>
          <w:b/>
          <w:bCs/>
          <w:kern w:val="0"/>
          <w14:ligatures w14:val="none"/>
        </w:rPr>
        <w:t>betweenness centrality (rather than consensus averaging)</w:t>
      </w:r>
      <w:r w:rsidRPr="002A2DE8">
        <w:rPr>
          <w:rFonts w:ascii="Times New Roman" w:eastAsia="Times New Roman" w:hAnsi="Times New Roman" w:cs="Times New Roman"/>
          <w:kern w:val="0"/>
          <w14:ligatures w14:val="none"/>
        </w:rPr>
        <w:t xml:space="preserve">, </w:t>
      </w:r>
      <w:r w:rsidRPr="002A2DE8">
        <w:rPr>
          <w:rFonts w:ascii="Times New Roman" w:eastAsia="Times New Roman" w:hAnsi="Times New Roman" w:cs="Times New Roman"/>
          <w:b/>
          <w:bCs/>
          <w:kern w:val="0"/>
          <w14:ligatures w14:val="none"/>
        </w:rPr>
        <w:t>dynamic scheduling between neighbor-driven and elite-driven learning</w:t>
      </w:r>
      <w:r w:rsidRPr="002A2DE8">
        <w:rPr>
          <w:rFonts w:ascii="Times New Roman" w:eastAsia="Times New Roman" w:hAnsi="Times New Roman" w:cs="Times New Roman"/>
          <w:kern w:val="0"/>
          <w14:ligatures w14:val="none"/>
        </w:rPr>
        <w:t xml:space="preserve">, </w:t>
      </w:r>
      <w:r w:rsidRPr="002A2DE8">
        <w:rPr>
          <w:rFonts w:ascii="Times New Roman" w:eastAsia="Times New Roman" w:hAnsi="Times New Roman" w:cs="Times New Roman"/>
          <w:b/>
          <w:bCs/>
          <w:kern w:val="0"/>
          <w14:ligatures w14:val="none"/>
        </w:rPr>
        <w:t>explicit mutation and synchronization phases</w:t>
      </w:r>
      <w:r w:rsidRPr="002A2DE8">
        <w:rPr>
          <w:rFonts w:ascii="Times New Roman" w:eastAsia="Times New Roman" w:hAnsi="Times New Roman" w:cs="Times New Roman"/>
          <w:kern w:val="0"/>
          <w14:ligatures w14:val="none"/>
        </w:rPr>
        <w:t xml:space="preserve">, and </w:t>
      </w:r>
      <w:r w:rsidRPr="002A2DE8">
        <w:rPr>
          <w:rFonts w:ascii="Times New Roman" w:eastAsia="Times New Roman" w:hAnsi="Times New Roman" w:cs="Times New Roman"/>
          <w:b/>
          <w:bCs/>
          <w:kern w:val="0"/>
          <w14:ligatures w14:val="none"/>
        </w:rPr>
        <w:t>engineering-focused constraint handling</w:t>
      </w:r>
      <w:r w:rsidRPr="002A2DE8">
        <w:rPr>
          <w:rFonts w:ascii="Times New Roman" w:eastAsia="Times New Roman" w:hAnsi="Times New Roman" w:cs="Times New Roman"/>
          <w:kern w:val="0"/>
          <w14:ligatures w14:val="none"/>
        </w:rPr>
        <w:t>. This expanded discussion clarifies the unique contributions of SOCIAL while situating it fairly within the broader literature.</w:t>
      </w:r>
    </w:p>
    <w:p w14:paraId="5CEFA1A7"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6BA84F9E">
          <v:rect id="Horizontal Line 36"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197661"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“3. Implementation details for graph operations, such as Watts-Strogatz topology generation and betweenness centrality computation, are superficial; the paper mentions scalability over sparse graphs but omits discussions on time complexity per iteration or handling large populations (e.g., N&gt;1000). The reviewer recommends adding pseudocode for key components in Section 3 and empirical runtime benchmarks to address potential bottlenecks in high-dimensional problems.”</w:t>
      </w:r>
    </w:p>
    <w:p w14:paraId="1BDF6AF7"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have significantly expanded the implementation details in Section 3. Pseudocode is now provided for graph initialization, centrality computation, diffusion update, mutation, and rewiring. We additionally report </w:t>
      </w:r>
      <w:r w:rsidRPr="002A2DE8">
        <w:rPr>
          <w:rFonts w:ascii="Times New Roman" w:eastAsia="Times New Roman" w:hAnsi="Times New Roman" w:cs="Times New Roman"/>
          <w:b/>
          <w:bCs/>
          <w:kern w:val="0"/>
          <w14:ligatures w14:val="none"/>
        </w:rPr>
        <w:t>empirical runtime benchmarks</w:t>
      </w:r>
      <w:r w:rsidRPr="002A2DE8">
        <w:rPr>
          <w:rFonts w:ascii="Times New Roman" w:eastAsia="Times New Roman" w:hAnsi="Times New Roman" w:cs="Times New Roman"/>
          <w:kern w:val="0"/>
          <w14:ligatures w14:val="none"/>
        </w:rPr>
        <w:t xml:space="preserve"> across increasing population sizes and dimensionalities, demonstrating scalability over sparse Watts–Strogatz graphs. Time complexity per iteration and measured CPU costs are now explicitly discussed.</w:t>
      </w:r>
    </w:p>
    <w:p w14:paraId="651745A4"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5FE50720">
          <v:rect id="Horizontal Line 37"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D7A275"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“4. The absence of explicit ablation studies undermines the claims about individual components’ contributions; while hyperparameter sensitivity is analyzed, there is no systematic removal or variation of elements like elite memory or mutation to isolate their impact. The authors should improve by incorporating a full ablation table in Section 4, reporting metrics like mean fitness over multiple runs to justify the multi-phase design.”</w:t>
      </w:r>
    </w:p>
    <w:p w14:paraId="13804257"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fully agree. The revised manuscript includes a </w:t>
      </w:r>
      <w:r w:rsidRPr="002A2DE8">
        <w:rPr>
          <w:rFonts w:ascii="Times New Roman" w:eastAsia="Times New Roman" w:hAnsi="Times New Roman" w:cs="Times New Roman"/>
          <w:b/>
          <w:bCs/>
          <w:kern w:val="0"/>
          <w14:ligatures w14:val="none"/>
        </w:rPr>
        <w:t>comprehensive ablation study</w:t>
      </w:r>
      <w:r w:rsidRPr="002A2DE8">
        <w:rPr>
          <w:rFonts w:ascii="Times New Roman" w:eastAsia="Times New Roman" w:hAnsi="Times New Roman" w:cs="Times New Roman"/>
          <w:kern w:val="0"/>
          <w14:ligatures w14:val="none"/>
        </w:rPr>
        <w:t>, systematically removing or disabling elite memory, mutation, synchronization, and centrality weighting. Results are reported in a new ablation table with mean and standard deviation over multiple runs, clearly demonstrating the contribution of each component to overall performance.</w:t>
      </w:r>
    </w:p>
    <w:p w14:paraId="3A7DC34C"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A385AEC">
          <v:rect id="Horizontal Line 3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B9FD39"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“5. Writing and presentation exhibit inconsistencies, including repetitive phrasing (e.g., ‘knowledge-driven’ across abstract and introduction), minor grammatical issues (e.g., ‘dynamicsi-dentifying’ typo on page 3), and unclear figure captions (e.g., Figure 1 lacks scale details). The reviewer suggests a comprehensive revision for clarity, possibly by a professional editor, to enhance readability and flow.”</w:t>
      </w:r>
    </w:p>
    <w:p w14:paraId="4B34398A"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lastRenderedPageBreak/>
        <w:t>Response:</w:t>
      </w:r>
      <w:r w:rsidRPr="002A2DE8">
        <w:rPr>
          <w:rFonts w:ascii="Times New Roman" w:eastAsia="Times New Roman" w:hAnsi="Times New Roman" w:cs="Times New Roman"/>
          <w:kern w:val="0"/>
          <w14:ligatures w14:val="none"/>
        </w:rPr>
        <w:br/>
        <w:t>We have thoroughly revised the manuscript to improve clarity and consistency. Repetitive phrasing has been reduced, typographical and grammatical errors corrected, and all figure captions rewritten to clearly explain scales, symbols, and visual encodings. These changes significantly improve readability and presentation quality.</w:t>
      </w:r>
    </w:p>
    <w:p w14:paraId="2D904810"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66F243C3">
          <v:rect id="Horizontal Line 39"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295AFE"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“6. Explanations for phase transitions in the learning schedule are vague; the paper states it shifts from exploration to exploitation but lacks supporting data like phase-specific diversity metrics or visualizations showing stagnation avoidance. The authors should change this by adding quantitative analyses (e.g., population variance plots) in Section 3.3 to elucidate why intermittent synchronization is optimal.”</w:t>
      </w:r>
    </w:p>
    <w:p w14:paraId="34947932"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address this concern by adding </w:t>
      </w:r>
      <w:r w:rsidRPr="002A2DE8">
        <w:rPr>
          <w:rFonts w:ascii="Times New Roman" w:eastAsia="Times New Roman" w:hAnsi="Times New Roman" w:cs="Times New Roman"/>
          <w:b/>
          <w:bCs/>
          <w:kern w:val="0"/>
          <w14:ligatures w14:val="none"/>
        </w:rPr>
        <w:t>phase-specific quantitative analyses</w:t>
      </w:r>
      <w:r w:rsidRPr="002A2DE8">
        <w:rPr>
          <w:rFonts w:ascii="Times New Roman" w:eastAsia="Times New Roman" w:hAnsi="Times New Roman" w:cs="Times New Roman"/>
          <w:kern w:val="0"/>
          <w14:ligatures w14:val="none"/>
        </w:rPr>
        <w:t>, including population variance, mean pairwise distance, and diversity curves across iterations. These plots explicitly illustrate how the scheduled transitions and intermittent synchronization prevent stagnation and support sustained exploration before exploitation.</w:t>
      </w:r>
    </w:p>
    <w:p w14:paraId="3EFA5279"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5B3E495">
          <v:rect id="Horizontal Line 40"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3AC799"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“7. Comparative evaluations are limited to older baselines (e.g., WO from 2024, GWO from 2014), omitting recent SOTA methods like Improved FOX (2025), Black-Winged Kite Algorithm (2025), or Raindrop Optimizer (2025), which report better results on CEC 2021 and the engineering problems tested. The reviewer recommends updating Tables 4–13 with these 2025 methods and including per-problem statistical tests (e.g., Wilcoxon) to better contextualize SOCIAL’s advantages.”</w:t>
      </w:r>
    </w:p>
    <w:p w14:paraId="7E07F1AD"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have revised the comparative discussion to explicitly acknowledge recent 2025 optimizers. Where implementations and experimental settings are publicly available, additional comparisons are included. In cases where direct comparison is not feasible, we soften state-of-the-art claims and contextualize SOCIAL’s performance relative to strong baselines. Per-problem Wilcoxon tests are now reported to strengthen statistical validity.</w:t>
      </w:r>
    </w:p>
    <w:p w14:paraId="11CF636D"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5D374F05">
          <v:rect id="Horizontal Line 4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25FD86"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“8. Computational complexity is only qualitatively discussed (e.g., ‘scalable communication over sparse graphs’), without quantitative metrics like FLOPs, memory usage, or scaling with dimensionality/population size. The authors should improve the discussion in Section 4 by providing asymptotic analysis (e.g., O(N log N) for centrality) and efficiency comparisons to baselines.”</w:t>
      </w:r>
    </w:p>
    <w:p w14:paraId="387BEEF9"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now provide explicit </w:t>
      </w:r>
      <w:r w:rsidRPr="002A2DE8">
        <w:rPr>
          <w:rFonts w:ascii="Times New Roman" w:eastAsia="Times New Roman" w:hAnsi="Times New Roman" w:cs="Times New Roman"/>
          <w:b/>
          <w:bCs/>
          <w:kern w:val="0"/>
          <w14:ligatures w14:val="none"/>
        </w:rPr>
        <w:t>asymptotic complexity analyses</w:t>
      </w:r>
      <w:r w:rsidRPr="002A2DE8">
        <w:rPr>
          <w:rFonts w:ascii="Times New Roman" w:eastAsia="Times New Roman" w:hAnsi="Times New Roman" w:cs="Times New Roman"/>
          <w:kern w:val="0"/>
          <w14:ligatures w14:val="none"/>
        </w:rPr>
        <w:t xml:space="preserve">, memory usage estimates, and </w:t>
      </w:r>
      <w:r w:rsidRPr="002A2DE8">
        <w:rPr>
          <w:rFonts w:ascii="Times New Roman" w:eastAsia="Times New Roman" w:hAnsi="Times New Roman" w:cs="Times New Roman"/>
          <w:kern w:val="0"/>
          <w14:ligatures w14:val="none"/>
        </w:rPr>
        <w:lastRenderedPageBreak/>
        <w:t>empirical scaling results with respect to population size and dimensionality. These are compared against representative baselines, clarifying the computational efficiency of SOCIAL.</w:t>
      </w:r>
    </w:p>
    <w:p w14:paraId="058B9283"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F6B6E78">
          <v:rect id="Horizontal Line 42"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806D13"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“9. While engineering results emphasize feasibility and objective values, the paper lacks specialized metrics like constraint violation rates or diversity indices to quantify robustness in constrained spaces. The reviewer suggests incorporating these metrics from benchmarks like CEC constrained suites and re-evaluating to highlight strengths in mixed-variable problems.”</w:t>
      </w:r>
    </w:p>
    <w:p w14:paraId="17E568AB"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incorporate </w:t>
      </w:r>
      <w:r w:rsidRPr="002A2DE8">
        <w:rPr>
          <w:rFonts w:ascii="Times New Roman" w:eastAsia="Times New Roman" w:hAnsi="Times New Roman" w:cs="Times New Roman"/>
          <w:b/>
          <w:bCs/>
          <w:kern w:val="0"/>
          <w14:ligatures w14:val="none"/>
        </w:rPr>
        <w:t>constraint violation statistics</w:t>
      </w:r>
      <w:r w:rsidRPr="002A2DE8">
        <w:rPr>
          <w:rFonts w:ascii="Times New Roman" w:eastAsia="Times New Roman" w:hAnsi="Times New Roman" w:cs="Times New Roman"/>
          <w:kern w:val="0"/>
          <w14:ligatures w14:val="none"/>
        </w:rPr>
        <w:t>, feasibility rates, and diversity indices for all engineering problems. These additional metrics provide a clearer picture of robustness in constrained and mixed-variable settings and are now reported in Section 4.</w:t>
      </w:r>
    </w:p>
    <w:p w14:paraId="56ED17C6"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54810D7D">
          <v:rect id="Horizontal Line 4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B5F4D9"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“10. The conclusion briefly outlines future directions but overlooks limitations such as parameter sensitivity in noisy environments or applicability to multi-objective tasks, and does not discuss broader impacts (e.g., integration with surrogates for expensive evaluations). The authors should expand Section 4.4 with explicit limitations, potential biases in benchmarks, and detailed extensions like hybridizing with LEA/M-LEA for materials design.”</w:t>
      </w:r>
    </w:p>
    <w:p w14:paraId="3F7F1494"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We have expanded the conclusion to explicitly discuss limitations, including parameter sensitivity under noise, scalability considerations, and current single-objective focus. We also outline concrete future extensions, including surrogate-assisted optimization and hybridization with LEA/M-LEA for materials design.</w:t>
      </w:r>
    </w:p>
    <w:p w14:paraId="09455340"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6D5FEE84">
          <v:rect id="Horizontal Line 4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977DCA" w14:textId="77777777" w:rsidR="002A2DE8" w:rsidRPr="002A2DE8" w:rsidRDefault="002A2DE8" w:rsidP="002A2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2DE8">
        <w:rPr>
          <w:rFonts w:ascii="Times New Roman" w:eastAsia="Times New Roman" w:hAnsi="Times New Roman" w:cs="Times New Roman"/>
          <w:b/>
          <w:bCs/>
          <w:kern w:val="36"/>
          <w:sz w:val="48"/>
          <w:szCs w:val="48"/>
          <w14:ligatures w14:val="none"/>
        </w:rPr>
        <w:t>Response to Reviewer #5</w:t>
      </w:r>
    </w:p>
    <w:p w14:paraId="25C1896C"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Reviewer #5:</w:t>
      </w:r>
      <w:r w:rsidRPr="002A2DE8">
        <w:rPr>
          <w:rFonts w:ascii="Times New Roman" w:eastAsia="Times New Roman" w:hAnsi="Times New Roman" w:cs="Times New Roman"/>
          <w:kern w:val="0"/>
          <w14:ligatures w14:val="none"/>
        </w:rPr>
        <w:br/>
      </w:r>
      <w:r w:rsidRPr="002A2DE8">
        <w:rPr>
          <w:rFonts w:ascii="Times New Roman" w:eastAsia="Times New Roman" w:hAnsi="Times New Roman" w:cs="Times New Roman"/>
          <w:i/>
          <w:iCs/>
          <w:kern w:val="0"/>
          <w14:ligatures w14:val="none"/>
        </w:rPr>
        <w:t>While the proposed SOCIAL algorithm demonstrates promising results on standard mathematical benchmarks, significant concerns remain regarding its applicability to realistic civil and structural engineering problems. The following comments address the gap between theoretical optimization and practical, safety-critical engineering design.</w:t>
      </w:r>
    </w:p>
    <w:p w14:paraId="0CC1C250"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2171583F">
          <v:rect id="Horizontal Line 4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4834E2"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 xml:space="preserve">“Commnet 1) Your algorithm trusts ‘central’ nodes in the network to guide the others. But this network is random—it doesn’t understand physics. For example, in structural </w:t>
      </w:r>
      <w:r w:rsidRPr="002A2DE8">
        <w:rPr>
          <w:rFonts w:ascii="Times New Roman" w:eastAsia="Times New Roman" w:hAnsi="Times New Roman" w:cs="Times New Roman"/>
          <w:b/>
          <w:bCs/>
          <w:kern w:val="0"/>
          <w14:ligatures w14:val="none"/>
        </w:rPr>
        <w:lastRenderedPageBreak/>
        <w:t>engineering, a solution might look mathematically ‘promising’ but be physically dangerous (like a beam that vibrates at resonance frequency). If the ‘influencer’ node is in a dangerous spot, it will pull the whole population toward failure. Thus, how can we verify that your ‘Social Influence’ mechanism doesn’t accidentally trick the population into converging on physically unstable designs just because they are ‘popular’ in the network graph?”</w:t>
      </w:r>
    </w:p>
    <w:p w14:paraId="6D216FF5"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This is a crucial point. SOCIAL does not blindly trust central nodes. In all constrained engineering problems, </w:t>
      </w:r>
      <w:r w:rsidRPr="002A2DE8">
        <w:rPr>
          <w:rFonts w:ascii="Times New Roman" w:eastAsia="Times New Roman" w:hAnsi="Times New Roman" w:cs="Times New Roman"/>
          <w:b/>
          <w:bCs/>
          <w:kern w:val="0"/>
          <w14:ligatures w14:val="none"/>
        </w:rPr>
        <w:t>influence is feasibility-gated</w:t>
      </w:r>
      <w:r w:rsidRPr="002A2DE8">
        <w:rPr>
          <w:rFonts w:ascii="Times New Roman" w:eastAsia="Times New Roman" w:hAnsi="Times New Roman" w:cs="Times New Roman"/>
          <w:kern w:val="0"/>
          <w14:ligatures w14:val="none"/>
        </w:rPr>
        <w:t>: infeasible or unsafe solutions are penalized and cannot act as influencers. Constraint-handling rules ensure that physically unstable designs are filtered out, preventing unsafe convergence driven by network popularity. This mechanism is now explicitly described and empirically validated in the revised manuscript.</w:t>
      </w:r>
    </w:p>
    <w:p w14:paraId="36D0EA24"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78F51E6D">
          <v:rect id="Horizontal Line 4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B32A98"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“Comment 2: As I have understood, you tested your algorithm using 500,000 evaluations… Then is it possible to prove this algorithm works with a ‘Low Budget’ (e.g., only 1,000 evaluations). If it requires 500,000 tries to be accurate, is it useless for high-fidelity engineering simulations?”</w:t>
      </w:r>
    </w:p>
    <w:p w14:paraId="7F75AF94"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fully agree with this concern. We therefore add </w:t>
      </w:r>
      <w:r w:rsidRPr="002A2DE8">
        <w:rPr>
          <w:rFonts w:ascii="Times New Roman" w:eastAsia="Times New Roman" w:hAnsi="Times New Roman" w:cs="Times New Roman"/>
          <w:b/>
          <w:bCs/>
          <w:kern w:val="0"/>
          <w14:ligatures w14:val="none"/>
        </w:rPr>
        <w:t>low-budget and surrogate-assisted experiments</w:t>
      </w:r>
      <w:r w:rsidRPr="002A2DE8">
        <w:rPr>
          <w:rFonts w:ascii="Times New Roman" w:eastAsia="Times New Roman" w:hAnsi="Times New Roman" w:cs="Times New Roman"/>
          <w:kern w:val="0"/>
          <w14:ligatures w14:val="none"/>
        </w:rPr>
        <w:t>, demonstrating that SOCIAL remains effective under evaluation budgets as low as 1,000–10,000 evaluations. These results confirm that SOCIAL is suitable for high-fidelity simulations where each evaluation is expensive.</w:t>
      </w:r>
    </w:p>
    <w:p w14:paraId="60DDC0F7"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59887F76">
          <v:rect id="Horizontal Line 4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40BBD7"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“Comment 3: Optimisation papers often look at ‘Average Best Fitness.’ In Civil Engineering, ‘Average’ isn’t good enough… Is it possible to add a ‘Feasibility Rate’ column to your results?”</w:t>
      </w:r>
    </w:p>
    <w:p w14:paraId="6C730776"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Yes. We now report </w:t>
      </w:r>
      <w:r w:rsidRPr="002A2DE8">
        <w:rPr>
          <w:rFonts w:ascii="Times New Roman" w:eastAsia="Times New Roman" w:hAnsi="Times New Roman" w:cs="Times New Roman"/>
          <w:b/>
          <w:bCs/>
          <w:kern w:val="0"/>
          <w14:ligatures w14:val="none"/>
        </w:rPr>
        <w:t>Feasibility Rate</w:t>
      </w:r>
      <w:r w:rsidRPr="002A2DE8">
        <w:rPr>
          <w:rFonts w:ascii="Times New Roman" w:eastAsia="Times New Roman" w:hAnsi="Times New Roman" w:cs="Times New Roman"/>
          <w:kern w:val="0"/>
          <w14:ligatures w14:val="none"/>
        </w:rPr>
        <w:t>, defined as the percentage of runs producing fully feasible solutions with zero constraint violations. This metric is added to all engineering result tables, aligning evaluation with safety-critical engineering standards.</w:t>
      </w:r>
    </w:p>
    <w:p w14:paraId="13F22A56"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77868CB4">
          <v:rect id="Horizontal Line 4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4EF172"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“Comment 4: … This makes the problem ‘Discrete,’ not ‘Continuous.’ … Can demonstrate if SOCIAL is still effective when variables are forced to be discrete standard sizes…?”</w:t>
      </w:r>
    </w:p>
    <w:p w14:paraId="0B9171D7"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explicitly enforce </w:t>
      </w:r>
      <w:r w:rsidRPr="002A2DE8">
        <w:rPr>
          <w:rFonts w:ascii="Times New Roman" w:eastAsia="Times New Roman" w:hAnsi="Times New Roman" w:cs="Times New Roman"/>
          <w:b/>
          <w:bCs/>
          <w:kern w:val="0"/>
          <w14:ligatures w14:val="none"/>
        </w:rPr>
        <w:t>discrete catalog constraints</w:t>
      </w:r>
      <w:r w:rsidRPr="002A2DE8">
        <w:rPr>
          <w:rFonts w:ascii="Times New Roman" w:eastAsia="Times New Roman" w:hAnsi="Times New Roman" w:cs="Times New Roman"/>
          <w:kern w:val="0"/>
          <w14:ligatures w14:val="none"/>
        </w:rPr>
        <w:t xml:space="preserve"> in revised experiments. SOCIAL remains </w:t>
      </w:r>
      <w:r w:rsidRPr="002A2DE8">
        <w:rPr>
          <w:rFonts w:ascii="Times New Roman" w:eastAsia="Times New Roman" w:hAnsi="Times New Roman" w:cs="Times New Roman"/>
          <w:kern w:val="0"/>
          <w14:ligatures w14:val="none"/>
        </w:rPr>
        <w:lastRenderedPageBreak/>
        <w:t>effective under discrete-only variable settings, as demonstrated on the cantilever beam and gear train problems with standard size catalogs.</w:t>
      </w:r>
    </w:p>
    <w:p w14:paraId="65C90D42"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08BE6987">
          <v:rect id="Horizontal Line 4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0E9A1B"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“Comment 5: The algorithm relies on a very high number of control parameters… It would be essential to perform a Sensitivity Analysis… You need to prove that the algorithm is stable and robust without requiring expert-level fine-tuning for every new problem.”</w:t>
      </w:r>
    </w:p>
    <w:p w14:paraId="643AE4AF" w14:textId="77777777" w:rsidR="002A2DE8" w:rsidRPr="002A2DE8" w:rsidRDefault="002A2DE8" w:rsidP="002A2DE8">
      <w:pPr>
        <w:spacing w:before="100" w:beforeAutospacing="1" w:after="100" w:afterAutospacing="1" w:line="240" w:lineRule="auto"/>
        <w:rPr>
          <w:rFonts w:ascii="Times New Roman" w:eastAsia="Times New Roman" w:hAnsi="Times New Roman" w:cs="Times New Roman"/>
          <w:kern w:val="0"/>
          <w14:ligatures w14:val="none"/>
        </w:rPr>
      </w:pPr>
      <w:r w:rsidRPr="002A2DE8">
        <w:rPr>
          <w:rFonts w:ascii="Times New Roman" w:eastAsia="Times New Roman" w:hAnsi="Times New Roman" w:cs="Times New Roman"/>
          <w:b/>
          <w:bCs/>
          <w:kern w:val="0"/>
          <w14:ligatures w14:val="none"/>
        </w:rPr>
        <w:t>Response:</w:t>
      </w:r>
      <w:r w:rsidRPr="002A2DE8">
        <w:rPr>
          <w:rFonts w:ascii="Times New Roman" w:eastAsia="Times New Roman" w:hAnsi="Times New Roman" w:cs="Times New Roman"/>
          <w:kern w:val="0"/>
          <w14:ligatures w14:val="none"/>
        </w:rPr>
        <w:br/>
        <w:t xml:space="preserve">We conduct a comprehensive </w:t>
      </w:r>
      <w:r w:rsidRPr="002A2DE8">
        <w:rPr>
          <w:rFonts w:ascii="Times New Roman" w:eastAsia="Times New Roman" w:hAnsi="Times New Roman" w:cs="Times New Roman"/>
          <w:b/>
          <w:bCs/>
          <w:kern w:val="0"/>
          <w14:ligatures w14:val="none"/>
        </w:rPr>
        <w:t>sensitivity analysis</w:t>
      </w:r>
      <w:r w:rsidRPr="002A2DE8">
        <w:rPr>
          <w:rFonts w:ascii="Times New Roman" w:eastAsia="Times New Roman" w:hAnsi="Times New Roman" w:cs="Times New Roman"/>
          <w:kern w:val="0"/>
          <w14:ligatures w14:val="none"/>
        </w:rPr>
        <w:t>, perturbing key parameters by ±10–20%. Results show that SOCIAL’s performance is stable across these variations, confirming that default parameter settings are robust and suitable for practical engineering use without extensive tuning.</w:t>
      </w:r>
    </w:p>
    <w:p w14:paraId="4263F68D" w14:textId="77777777" w:rsidR="002A2DE8" w:rsidRPr="002A2DE8" w:rsidRDefault="003E362C" w:rsidP="002A2DE8">
      <w:pPr>
        <w:spacing w:after="0" w:line="240" w:lineRule="auto"/>
        <w:rPr>
          <w:rFonts w:ascii="Times New Roman" w:eastAsia="Times New Roman" w:hAnsi="Times New Roman" w:cs="Times New Roman"/>
          <w:kern w:val="0"/>
          <w14:ligatures w14:val="none"/>
        </w:rPr>
      </w:pPr>
      <w:r>
        <w:rPr>
          <w:noProof/>
        </w:rPr>
      </w:r>
      <w:r>
        <w:pict w14:anchorId="19C62B38">
          <v:rect id="Horizontal Lin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23CEDB" w14:textId="77777777" w:rsidR="002A2DE8" w:rsidRPr="002A2DE8" w:rsidRDefault="002A2DE8" w:rsidP="002A2DE8">
      <w:pPr>
        <w:spacing w:after="0" w:line="240" w:lineRule="auto"/>
        <w:rPr>
          <w:rFonts w:ascii="Times New Roman" w:eastAsia="Times New Roman" w:hAnsi="Times New Roman" w:cs="Times New Roman"/>
          <w:kern w:val="0"/>
          <w14:ligatures w14:val="none"/>
        </w:rPr>
      </w:pPr>
    </w:p>
    <w:p w14:paraId="684539FA" w14:textId="77777777" w:rsidR="00297941" w:rsidRDefault="00297941"/>
    <w:sectPr w:rsidR="0029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9375B"/>
    <w:multiLevelType w:val="multilevel"/>
    <w:tmpl w:val="DD8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6033F"/>
    <w:multiLevelType w:val="multilevel"/>
    <w:tmpl w:val="901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189521">
    <w:abstractNumId w:val="0"/>
  </w:num>
  <w:num w:numId="2" w16cid:durableId="1655059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E8"/>
    <w:rsid w:val="00031D75"/>
    <w:rsid w:val="0009392D"/>
    <w:rsid w:val="00094820"/>
    <w:rsid w:val="000E1EF5"/>
    <w:rsid w:val="000F0BEC"/>
    <w:rsid w:val="00137103"/>
    <w:rsid w:val="001700C3"/>
    <w:rsid w:val="001B39AC"/>
    <w:rsid w:val="00205A3E"/>
    <w:rsid w:val="002461D1"/>
    <w:rsid w:val="0025063C"/>
    <w:rsid w:val="0027778D"/>
    <w:rsid w:val="00291E2C"/>
    <w:rsid w:val="00297941"/>
    <w:rsid w:val="002A2DE8"/>
    <w:rsid w:val="0030558F"/>
    <w:rsid w:val="0035016C"/>
    <w:rsid w:val="003531EF"/>
    <w:rsid w:val="003E2040"/>
    <w:rsid w:val="003E362C"/>
    <w:rsid w:val="00415D11"/>
    <w:rsid w:val="00424807"/>
    <w:rsid w:val="00424820"/>
    <w:rsid w:val="00481DF6"/>
    <w:rsid w:val="004B3D0B"/>
    <w:rsid w:val="004C2437"/>
    <w:rsid w:val="004D5F56"/>
    <w:rsid w:val="004E7CDB"/>
    <w:rsid w:val="00510505"/>
    <w:rsid w:val="005969F0"/>
    <w:rsid w:val="005C5B38"/>
    <w:rsid w:val="005F373D"/>
    <w:rsid w:val="00602CD4"/>
    <w:rsid w:val="00614F41"/>
    <w:rsid w:val="00625920"/>
    <w:rsid w:val="006C467C"/>
    <w:rsid w:val="0072496B"/>
    <w:rsid w:val="00773F43"/>
    <w:rsid w:val="00795994"/>
    <w:rsid w:val="007B6090"/>
    <w:rsid w:val="007E0F79"/>
    <w:rsid w:val="00827FFD"/>
    <w:rsid w:val="00867DD4"/>
    <w:rsid w:val="008931F7"/>
    <w:rsid w:val="008A3D9B"/>
    <w:rsid w:val="008A61EE"/>
    <w:rsid w:val="008E58D2"/>
    <w:rsid w:val="009239C6"/>
    <w:rsid w:val="00927991"/>
    <w:rsid w:val="00931B53"/>
    <w:rsid w:val="0094483E"/>
    <w:rsid w:val="00973703"/>
    <w:rsid w:val="00A06163"/>
    <w:rsid w:val="00A4145B"/>
    <w:rsid w:val="00A457E3"/>
    <w:rsid w:val="00A86ADF"/>
    <w:rsid w:val="00AB2DEE"/>
    <w:rsid w:val="00B2663D"/>
    <w:rsid w:val="00BC0127"/>
    <w:rsid w:val="00BC2462"/>
    <w:rsid w:val="00BD5FAD"/>
    <w:rsid w:val="00BE19D5"/>
    <w:rsid w:val="00C627DF"/>
    <w:rsid w:val="00D352A1"/>
    <w:rsid w:val="00D76267"/>
    <w:rsid w:val="00DA3CF6"/>
    <w:rsid w:val="00DC23CF"/>
    <w:rsid w:val="00DC6158"/>
    <w:rsid w:val="00DE5DFC"/>
    <w:rsid w:val="00E00F56"/>
    <w:rsid w:val="00E73200"/>
    <w:rsid w:val="00E85BB3"/>
    <w:rsid w:val="00E9506B"/>
    <w:rsid w:val="00EA0A54"/>
    <w:rsid w:val="00EC2B93"/>
    <w:rsid w:val="00EC3196"/>
    <w:rsid w:val="00FC0D3A"/>
    <w:rsid w:val="00FD4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1E41963A"/>
  <w15:chartTrackingRefBased/>
  <w15:docId w15:val="{C881560D-B5E4-7648-947B-B8524BB8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DE8"/>
    <w:rPr>
      <w:rFonts w:eastAsiaTheme="majorEastAsia" w:cstheme="majorBidi"/>
      <w:color w:val="272727" w:themeColor="text1" w:themeTint="D8"/>
    </w:rPr>
  </w:style>
  <w:style w:type="paragraph" w:styleId="Title">
    <w:name w:val="Title"/>
    <w:basedOn w:val="Normal"/>
    <w:next w:val="Normal"/>
    <w:link w:val="TitleChar"/>
    <w:uiPriority w:val="10"/>
    <w:qFormat/>
    <w:rsid w:val="002A2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DE8"/>
    <w:pPr>
      <w:spacing w:before="160"/>
      <w:jc w:val="center"/>
    </w:pPr>
    <w:rPr>
      <w:i/>
      <w:iCs/>
      <w:color w:val="404040" w:themeColor="text1" w:themeTint="BF"/>
    </w:rPr>
  </w:style>
  <w:style w:type="character" w:customStyle="1" w:styleId="QuoteChar">
    <w:name w:val="Quote Char"/>
    <w:basedOn w:val="DefaultParagraphFont"/>
    <w:link w:val="Quote"/>
    <w:uiPriority w:val="29"/>
    <w:rsid w:val="002A2DE8"/>
    <w:rPr>
      <w:i/>
      <w:iCs/>
      <w:color w:val="404040" w:themeColor="text1" w:themeTint="BF"/>
    </w:rPr>
  </w:style>
  <w:style w:type="paragraph" w:styleId="ListParagraph">
    <w:name w:val="List Paragraph"/>
    <w:basedOn w:val="Normal"/>
    <w:uiPriority w:val="34"/>
    <w:qFormat/>
    <w:rsid w:val="002A2DE8"/>
    <w:pPr>
      <w:ind w:left="720"/>
      <w:contextualSpacing/>
    </w:pPr>
  </w:style>
  <w:style w:type="character" w:styleId="IntenseEmphasis">
    <w:name w:val="Intense Emphasis"/>
    <w:basedOn w:val="DefaultParagraphFont"/>
    <w:uiPriority w:val="21"/>
    <w:qFormat/>
    <w:rsid w:val="002A2DE8"/>
    <w:rPr>
      <w:i/>
      <w:iCs/>
      <w:color w:val="0F4761" w:themeColor="accent1" w:themeShade="BF"/>
    </w:rPr>
  </w:style>
  <w:style w:type="paragraph" w:styleId="IntenseQuote">
    <w:name w:val="Intense Quote"/>
    <w:basedOn w:val="Normal"/>
    <w:next w:val="Normal"/>
    <w:link w:val="IntenseQuoteChar"/>
    <w:uiPriority w:val="30"/>
    <w:qFormat/>
    <w:rsid w:val="002A2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DE8"/>
    <w:rPr>
      <w:i/>
      <w:iCs/>
      <w:color w:val="0F4761" w:themeColor="accent1" w:themeShade="BF"/>
    </w:rPr>
  </w:style>
  <w:style w:type="character" w:styleId="IntenseReference">
    <w:name w:val="Intense Reference"/>
    <w:basedOn w:val="DefaultParagraphFont"/>
    <w:uiPriority w:val="32"/>
    <w:qFormat/>
    <w:rsid w:val="002A2DE8"/>
    <w:rPr>
      <w:b/>
      <w:bCs/>
      <w:smallCaps/>
      <w:color w:val="0F4761" w:themeColor="accent1" w:themeShade="BF"/>
      <w:spacing w:val="5"/>
    </w:rPr>
  </w:style>
  <w:style w:type="paragraph" w:styleId="NormalWeb">
    <w:name w:val="Normal (Web)"/>
    <w:basedOn w:val="Normal"/>
    <w:uiPriority w:val="99"/>
    <w:semiHidden/>
    <w:unhideWhenUsed/>
    <w:rsid w:val="002A2D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2DE8"/>
    <w:rPr>
      <w:b/>
      <w:bCs/>
    </w:rPr>
  </w:style>
  <w:style w:type="character" w:styleId="Emphasis">
    <w:name w:val="Emphasis"/>
    <w:basedOn w:val="DefaultParagraphFont"/>
    <w:uiPriority w:val="20"/>
    <w:qFormat/>
    <w:rsid w:val="002A2D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3357</Words>
  <Characters>19140</Characters>
  <Application>Microsoft Office Word</Application>
  <DocSecurity>0</DocSecurity>
  <Lines>159</Lines>
  <Paragraphs>44</Paragraphs>
  <ScaleCrop>false</ScaleCrop>
  <Company/>
  <LinksUpToDate>false</LinksUpToDate>
  <CharactersWithSpaces>22453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Jalali</dc:creator>
  <cp:keywords/>
  <dc:description/>
  <cp:lastModifiedBy>Mehrdad Jalali</cp:lastModifiedBy>
  <cp:revision>2</cp:revision>
  <dcterms:created xsi:type="dcterms:W3CDTF">2025-12-15T09:20:00Z</dcterms:created>
  <dcterms:modified xsi:type="dcterms:W3CDTF">2025-12-15T09:23:00Z</dcterms:modified>
</cp:coreProperties>
</file>