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QMOF-Rec Final Mask-Aware Rerun: Response Update</w:t>
      </w:r>
    </w:p>
    <w:p>
      <w:pPr>
        <w:jc w:val="center"/>
      </w:pPr>
      <w:r>
        <w:rPr>
          <w:rFonts w:ascii="Arial" w:hAnsi="Arial"/>
          <w:i/>
          <w:sz w:val="22"/>
        </w:rPr>
        <w:t>Concise point-by-point update for Arnd</w:t>
      </w:r>
    </w:p>
    <w:p>
      <w:pPr>
        <w:pStyle w:val="Heading1"/>
      </w:pPr>
      <w:r>
        <w:t>Summary</w:t>
      </w:r>
    </w:p>
    <w:p>
      <w:r>
        <w:t>Thank you again for the detailed review. We completed a final mask-aware rerun so that the manuscript tables, figures, equations, configuration, and repository implementation now refer to the same protocol. Historical outputs are preserved separately for transparency, but the main manuscript now reports the final rerun as the primary evidence.</w:t>
      </w:r>
    </w:p>
    <w:p>
      <w:pPr>
        <w:pStyle w:val="Heading1"/>
      </w:pPr>
      <w:r>
        <w:t>Major Updates Completed</w:t>
      </w:r>
    </w:p>
    <w:p>
      <w:pPr/>
      <w:r>
        <w:rPr>
          <w:b/>
        </w:rPr>
        <w:t xml:space="preserve">Final mask-aware rerun: </w:t>
      </w:r>
      <w:r>
        <w:t>The complete ranking protocol was rerun on 20,372 QMOF metadata records across five query scenarios and ten seeds, using shared candidate pools and top-K identifiers for every method.</w:t>
      </w:r>
    </w:p>
    <w:p>
      <w:pPr/>
      <w:r>
        <w:rPr>
          <w:b/>
        </w:rPr>
        <w:t xml:space="preserve">Missing descriptors: </w:t>
      </w:r>
      <w:r>
        <w:t>Missing values are represented by explicit availability masks. Band gap is available for 10,810 records, density for all records, and void fraction for none.</w:t>
      </w:r>
    </w:p>
    <w:p>
      <w:pPr/>
      <w:r>
        <w:rPr>
          <w:b/>
        </w:rPr>
        <w:t xml:space="preserve">Void fraction: </w:t>
      </w:r>
      <w:r>
        <w:t>Void fraction is excluded from relevance, balance, diversity, candidate remapping, WeightedSum, TOPSIS, ParetoCrowding, MMR, LEA, graph-aware ranking, radar plots, and numerical metric plots.</w:t>
      </w:r>
    </w:p>
    <w:p>
      <w:pPr/>
      <w:r>
        <w:rPr>
          <w:b/>
        </w:rPr>
        <w:t xml:space="preserve">Statistical interpretation: </w:t>
      </w:r>
      <w:r>
        <w:t>The manuscript now treats query scenario as the statistical block rather than treating all query/seed rows as independent scientific tasks.</w:t>
      </w:r>
    </w:p>
    <w:p>
      <w:pPr/>
      <w:r>
        <w:rPr>
          <w:b/>
        </w:rPr>
        <w:t xml:space="preserve">Candidate-pool sensitivity: </w:t>
      </w:r>
      <w:r>
        <w:t>Pool sizes 50, 100, and 200 were rerun under the final implementation. The main pool size of 100 is retained for comparability, not claimed as globally optimal.</w:t>
      </w:r>
    </w:p>
    <w:p>
      <w:pPr/>
      <w:r>
        <w:rPr>
          <w:b/>
        </w:rPr>
        <w:t xml:space="preserve">WeightedSum versus LEA no-diversity: </w:t>
      </w:r>
      <w:r>
        <w:t>The comparison now uses actual top-K identifiers. LEA no-diversity matches aggregate metrics but is not list-identical to WeightedSum: only 10/50 rows share the same top-K set and 0/50 share the exact order.</w:t>
      </w:r>
    </w:p>
    <w:p>
      <w:pPr/>
      <w:r>
        <w:rPr>
          <w:b/>
        </w:rPr>
        <w:t xml:space="preserve">RAG/LLM evaluation: </w:t>
      </w:r>
      <w:r>
        <w:t>The previous 30-query explanation-layer evaluation is retained as an automated explanation-quality check. Because final ranking changed candidate lists, the manuscript no longer presents those values as a fully rerun candidate-conditioned RAG result.</w:t>
      </w:r>
    </w:p>
    <w:p>
      <w:pPr>
        <w:pStyle w:val="Heading1"/>
      </w:pPr>
      <w:r>
        <w:t>Final Numerical Outcome</w:t>
        <w:br w:type="page"/>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rFonts w:ascii="Arial" w:hAnsi="Arial"/>
                <w:sz w:val="18"/>
              </w:rPr>
              <w:t>Method</w:t>
            </w:r>
          </w:p>
        </w:tc>
        <w:tc>
          <w:tcPr>
            <w:tcW w:type="dxa" w:w="1958"/>
            <w:vAlign w:val="center"/>
          </w:tcPr>
          <w:p>
            <w:r>
              <w:rPr>
                <w:rFonts w:ascii="Arial" w:hAnsi="Arial"/>
                <w:sz w:val="18"/>
              </w:rPr>
              <w:t>Rel@5</w:t>
            </w:r>
          </w:p>
        </w:tc>
        <w:tc>
          <w:tcPr>
            <w:tcW w:type="dxa" w:w="1958"/>
            <w:vAlign w:val="center"/>
          </w:tcPr>
          <w:p>
            <w:r>
              <w:rPr>
                <w:rFonts w:ascii="Arial" w:hAnsi="Arial"/>
                <w:sz w:val="18"/>
              </w:rPr>
              <w:t>NDCG@5</w:t>
            </w:r>
          </w:p>
        </w:tc>
        <w:tc>
          <w:tcPr>
            <w:tcW w:type="dxa" w:w="1958"/>
            <w:vAlign w:val="center"/>
          </w:tcPr>
          <w:p>
            <w:r>
              <w:rPr>
                <w:rFonts w:ascii="Arial" w:hAnsi="Arial"/>
                <w:sz w:val="18"/>
              </w:rPr>
              <w:t>Diversity</w:t>
            </w:r>
          </w:p>
        </w:tc>
        <w:tc>
          <w:tcPr>
            <w:tcW w:type="dxa" w:w="1958"/>
            <w:vAlign w:val="center"/>
          </w:tcPr>
          <w:p>
            <w:r>
              <w:rPr>
                <w:rFonts w:ascii="Arial" w:hAnsi="Arial"/>
                <w:sz w:val="18"/>
              </w:rPr>
              <w:t>Interpretation</w:t>
            </w:r>
          </w:p>
        </w:tc>
      </w:tr>
      <w:tr>
        <w:tc>
          <w:tcPr>
            <w:tcW w:type="dxa" w:w="1958"/>
            <w:vAlign w:val="center"/>
          </w:tcPr>
          <w:p>
            <w:r>
              <w:rPr>
                <w:rFonts w:ascii="Arial" w:hAnsi="Arial"/>
                <w:sz w:val="18"/>
              </w:rPr>
              <w:t>WeightedSum</w:t>
            </w:r>
          </w:p>
        </w:tc>
        <w:tc>
          <w:tcPr>
            <w:tcW w:type="dxa" w:w="1958"/>
            <w:vAlign w:val="center"/>
          </w:tcPr>
          <w:p>
            <w:r>
              <w:rPr>
                <w:rFonts w:ascii="Arial" w:hAnsi="Arial"/>
                <w:sz w:val="18"/>
              </w:rPr>
              <w:t>0.8479</w:t>
            </w:r>
          </w:p>
        </w:tc>
        <w:tc>
          <w:tcPr>
            <w:tcW w:type="dxa" w:w="1958"/>
            <w:vAlign w:val="center"/>
          </w:tcPr>
          <w:p>
            <w:r>
              <w:rPr>
                <w:rFonts w:ascii="Arial" w:hAnsi="Arial"/>
                <w:sz w:val="18"/>
              </w:rPr>
              <w:t>1.0000</w:t>
            </w:r>
          </w:p>
        </w:tc>
        <w:tc>
          <w:tcPr>
            <w:tcW w:type="dxa" w:w="1958"/>
            <w:vAlign w:val="center"/>
          </w:tcPr>
          <w:p>
            <w:r>
              <w:rPr>
                <w:rFonts w:ascii="Arial" w:hAnsi="Arial"/>
                <w:sz w:val="18"/>
              </w:rPr>
              <w:t>0.0000</w:t>
            </w:r>
          </w:p>
        </w:tc>
        <w:tc>
          <w:tcPr>
            <w:tcW w:type="dxa" w:w="1958"/>
            <w:vAlign w:val="center"/>
          </w:tcPr>
          <w:p>
            <w:r>
              <w:rPr>
                <w:rFonts w:ascii="Arial" w:hAnsi="Arial"/>
                <w:sz w:val="18"/>
              </w:rPr>
              <w:t>Best/tied relevance; redundant active-objective profile</w:t>
            </w:r>
          </w:p>
        </w:tc>
      </w:tr>
      <w:tr>
        <w:tc>
          <w:tcPr>
            <w:tcW w:type="dxa" w:w="1958"/>
            <w:vAlign w:val="center"/>
          </w:tcPr>
          <w:p>
            <w:r>
              <w:rPr>
                <w:rFonts w:ascii="Arial" w:hAnsi="Arial"/>
                <w:sz w:val="18"/>
              </w:rPr>
              <w:t>LEA baseline</w:t>
            </w:r>
          </w:p>
        </w:tc>
        <w:tc>
          <w:tcPr>
            <w:tcW w:type="dxa" w:w="1958"/>
            <w:vAlign w:val="center"/>
          </w:tcPr>
          <w:p>
            <w:r>
              <w:rPr>
                <w:rFonts w:ascii="Arial" w:hAnsi="Arial"/>
                <w:sz w:val="18"/>
              </w:rPr>
              <w:t>0.8479</w:t>
            </w:r>
          </w:p>
        </w:tc>
        <w:tc>
          <w:tcPr>
            <w:tcW w:type="dxa" w:w="1958"/>
            <w:vAlign w:val="center"/>
          </w:tcPr>
          <w:p>
            <w:r>
              <w:rPr>
                <w:rFonts w:ascii="Arial" w:hAnsi="Arial"/>
                <w:sz w:val="18"/>
              </w:rPr>
              <w:t>1.0000</w:t>
            </w:r>
          </w:p>
        </w:tc>
        <w:tc>
          <w:tcPr>
            <w:tcW w:type="dxa" w:w="1958"/>
            <w:vAlign w:val="center"/>
          </w:tcPr>
          <w:p>
            <w:r>
              <w:rPr>
                <w:rFonts w:ascii="Arial" w:hAnsi="Arial"/>
                <w:sz w:val="18"/>
              </w:rPr>
              <w:t>0.0000</w:t>
            </w:r>
          </w:p>
        </w:tc>
        <w:tc>
          <w:tcPr>
            <w:tcW w:type="dxa" w:w="1958"/>
            <w:vAlign w:val="center"/>
          </w:tcPr>
          <w:p>
            <w:r>
              <w:rPr>
                <w:rFonts w:ascii="Arial" w:hAnsi="Arial"/>
                <w:sz w:val="18"/>
              </w:rPr>
              <w:t>Ties WeightedSum in the final deterministic masked protocol</w:t>
            </w:r>
          </w:p>
        </w:tc>
      </w:tr>
      <w:tr>
        <w:tc>
          <w:tcPr>
            <w:tcW w:type="dxa" w:w="1958"/>
            <w:vAlign w:val="center"/>
          </w:tcPr>
          <w:p>
            <w:r>
              <w:rPr>
                <w:rFonts w:ascii="Arial" w:hAnsi="Arial"/>
                <w:sz w:val="18"/>
              </w:rPr>
              <w:t>MMR</w:t>
            </w:r>
          </w:p>
        </w:tc>
        <w:tc>
          <w:tcPr>
            <w:tcW w:type="dxa" w:w="1958"/>
            <w:vAlign w:val="center"/>
          </w:tcPr>
          <w:p>
            <w:r>
              <w:rPr>
                <w:rFonts w:ascii="Arial" w:hAnsi="Arial"/>
                <w:sz w:val="18"/>
              </w:rPr>
              <w:t>0.8400</w:t>
            </w:r>
          </w:p>
        </w:tc>
        <w:tc>
          <w:tcPr>
            <w:tcW w:type="dxa" w:w="1958"/>
            <w:vAlign w:val="center"/>
          </w:tcPr>
          <w:p>
            <w:r>
              <w:rPr>
                <w:rFonts w:ascii="Arial" w:hAnsi="Arial"/>
                <w:sz w:val="18"/>
              </w:rPr>
              <w:t>0.9871</w:t>
            </w:r>
          </w:p>
        </w:tc>
        <w:tc>
          <w:tcPr>
            <w:tcW w:type="dxa" w:w="1958"/>
            <w:vAlign w:val="center"/>
          </w:tcPr>
          <w:p>
            <w:r>
              <w:rPr>
                <w:rFonts w:ascii="Arial" w:hAnsi="Arial"/>
                <w:sz w:val="18"/>
              </w:rPr>
              <w:t>0.0400</w:t>
            </w:r>
          </w:p>
        </w:tc>
        <w:tc>
          <w:tcPr>
            <w:tcW w:type="dxa" w:w="1958"/>
            <w:vAlign w:val="center"/>
          </w:tcPr>
          <w:p>
            <w:r>
              <w:rPr>
                <w:rFonts w:ascii="Arial" w:hAnsi="Arial"/>
                <w:sz w:val="18"/>
              </w:rPr>
              <w:t>Adds diversity with lower relevance and higher runtime</w:t>
            </w:r>
          </w:p>
        </w:tc>
      </w:tr>
      <w:tr>
        <w:tc>
          <w:tcPr>
            <w:tcW w:type="dxa" w:w="1958"/>
            <w:vAlign w:val="center"/>
          </w:tcPr>
          <w:p>
            <w:r>
              <w:rPr>
                <w:rFonts w:ascii="Arial" w:hAnsi="Arial"/>
                <w:sz w:val="18"/>
              </w:rPr>
              <w:t>LEA + GAT</w:t>
            </w:r>
          </w:p>
        </w:tc>
        <w:tc>
          <w:tcPr>
            <w:tcW w:type="dxa" w:w="1958"/>
            <w:vAlign w:val="center"/>
          </w:tcPr>
          <w:p>
            <w:r>
              <w:rPr>
                <w:rFonts w:ascii="Arial" w:hAnsi="Arial"/>
                <w:sz w:val="18"/>
              </w:rPr>
              <w:t>0.8479</w:t>
            </w:r>
          </w:p>
        </w:tc>
        <w:tc>
          <w:tcPr>
            <w:tcW w:type="dxa" w:w="1958"/>
            <w:vAlign w:val="center"/>
          </w:tcPr>
          <w:p>
            <w:r>
              <w:rPr>
                <w:rFonts w:ascii="Arial" w:hAnsi="Arial"/>
                <w:sz w:val="18"/>
              </w:rPr>
              <w:t>1.0000</w:t>
            </w:r>
          </w:p>
        </w:tc>
        <w:tc>
          <w:tcPr>
            <w:tcW w:type="dxa" w:w="1958"/>
            <w:vAlign w:val="center"/>
          </w:tcPr>
          <w:p>
            <w:r>
              <w:rPr>
                <w:rFonts w:ascii="Arial" w:hAnsi="Arial"/>
                <w:sz w:val="18"/>
              </w:rPr>
              <w:t>0.0127</w:t>
            </w:r>
          </w:p>
        </w:tc>
        <w:tc>
          <w:tcPr>
            <w:tcW w:type="dxa" w:w="1958"/>
            <w:vAlign w:val="center"/>
          </w:tcPr>
          <w:p>
            <w:r>
              <w:rPr>
                <w:rFonts w:ascii="Arial" w:hAnsi="Arial"/>
                <w:sz w:val="18"/>
              </w:rPr>
              <w:t>Adds small graph-aware diversity without relevance loss</w:t>
            </w:r>
          </w:p>
        </w:tc>
      </w:tr>
    </w:tbl>
    <w:p>
      <w:pPr>
        <w:pStyle w:val="Heading1"/>
      </w:pPr>
      <w:r>
        <w:t>Conclusion Change</w:t>
      </w:r>
    </w:p>
    <w:p>
      <w:r>
        <w:t>The final rerun strengthens the transparency of the manuscript but weakens the previous baseline-LEA diversity claim. The defensible conclusion is now: QMOF-Rec provides a reproducible mask-aware recommendation framework; baseline LEA ties deterministic relevance-oriented methods under the current deterministic proxy; diversity requires MMR or graph-aware LEA variants in this final rerun; and all candidate-prioritization results remain computational and unvalidated experimentally.</w:t>
      </w:r>
    </w:p>
    <w:p>
      <w:pPr>
        <w:pStyle w:val="Heading1"/>
      </w:pPr>
      <w:r>
        <w:t>Files Added or Updated</w:t>
      </w:r>
    </w:p>
    <w:p>
      <w:pPr>
        <w:pStyle w:val="ListBullet"/>
      </w:pPr>
      <w:r>
        <w:t>configs/final_mask_aware_protocol.json</w:t>
      </w:r>
    </w:p>
    <w:p>
      <w:pPr>
        <w:pStyle w:val="ListBullet"/>
      </w:pPr>
      <w:r>
        <w:t>scripts/run_final_mask_aware_protocol.py</w:t>
      </w:r>
    </w:p>
    <w:p>
      <w:pPr>
        <w:pStyle w:val="ListBullet"/>
      </w:pPr>
      <w:r>
        <w:t>artifacts/final_masked_protocol/</w:t>
      </w:r>
    </w:p>
    <w:p>
      <w:pPr>
        <w:pStyle w:val="ListBullet"/>
      </w:pPr>
      <w:r>
        <w:t>artifacts/protocol_comparison/</w:t>
      </w:r>
    </w:p>
    <w:p>
      <w:pPr>
        <w:pStyle w:val="ListBullet"/>
      </w:pPr>
      <w:r>
        <w:t>manuscript/main.tex and manuscript/main.pdf</w:t>
      </w:r>
    </w:p>
    <w:p>
      <w:pPr>
        <w:pStyle w:val="ListBullet"/>
      </w:pPr>
      <w:r>
        <w:t>manuscript/supplementary_material.tex and manuscript/supplementary_material.pdf</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