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36"/>
        </w:rPr>
        <w:t>QMOF-Rec Final Response-to-Comments Summary</w:t>
      </w:r>
    </w:p>
    <w:p>
      <w:pPr>
        <w:jc w:val="center"/>
      </w:pPr>
      <w:r>
        <w:rPr>
          <w:i/>
        </w:rPr>
        <w:t>Final consistency and submission-readiness revision</w:t>
      </w:r>
    </w:p>
    <w:p>
      <w:pPr>
        <w:pStyle w:val="Heading1"/>
      </w:pPr>
      <w:r>
        <w:t>Dear Arnd,</w:t>
      </w:r>
    </w:p>
    <w:p>
      <w:r>
        <w:t>Thank you again for the careful review and the specific methodological suggestions. We have completed a final consistency pass across the manuscript, supplementary material, code, figures, and reproducibility notes. The revised package now separates descriptor masking, objective-space remapping, hybrid-distance diversity, and candidate-conditioned explanation evaluation more explicitly.</w:t>
      </w:r>
    </w:p>
    <w:p>
      <w:pPr>
        <w:pStyle w:val="Heading1"/>
      </w:pPr>
      <w:r>
        <w:t>Main Final Changes</w:t>
      </w:r>
    </w:p>
    <w:p>
      <w:pPr>
        <w:pStyle w:val="ListBullet"/>
        <w:spacing w:after="80"/>
      </w:pPr>
      <w:r>
        <w:t>Separated LEA candidate remapping from reported list diversity: remapping uses active objective-space masked distance, while diversity, MMR redundancy, and Pareto crowding use the final hybrid material distance.</w:t>
      </w:r>
    </w:p>
    <w:p>
      <w:pPr>
        <w:pStyle w:val="ListBullet"/>
        <w:spacing w:after="80"/>
      </w:pPr>
      <w:r>
        <w:t>Moderated the diversity claim: LEA shows a modest diversity difference relative to WeightedSum under the final hybrid representation, but the explicit diversity and self-cleaning ablations do not isolate a measurable aggregate benefit.</w:t>
      </w:r>
    </w:p>
    <w:p>
      <w:pPr>
        <w:pStyle w:val="ListBullet"/>
        <w:spacing w:after="80"/>
      </w:pPr>
      <w:r>
        <w:t>Clarified that MMR is slightly more diverse but slower because its greedy redundancy penalty repeatedly compares candidates against the growing selected list.</w:t>
      </w:r>
    </w:p>
    <w:p>
      <w:pPr>
        <w:pStyle w:val="ListBullet"/>
        <w:spacing w:after="80"/>
      </w:pPr>
      <w:r>
        <w:t>Corrected Figure 7/radar wording so the axes are Rel@5, NDCG@5, hybrid diversity, band-gap score, and density score; void fraction remains excluded.</w:t>
      </w:r>
    </w:p>
    <w:p>
      <w:pPr>
        <w:pStyle w:val="ListBullet"/>
        <w:spacing w:after="80"/>
      </w:pPr>
      <w:r>
        <w:t>Clarified that the 30-query explanation evaluation is deterministic, local, and candidate-conditioned rather than a live LLM generation benchmark.</w:t>
      </w:r>
    </w:p>
    <w:p>
      <w:pPr>
        <w:pStyle w:val="ListBullet"/>
        <w:spacing w:after="80"/>
      </w:pPr>
      <w:r>
        <w:t>Added final consistency artifacts, including distance-use checks, hybrid-weight sensitivity, query-blocked diversity differences, and manuscript-code consistency notes.</w:t>
      </w:r>
    </w:p>
    <w:p>
      <w:pPr>
        <w:pStyle w:val="Heading1"/>
      </w:pPr>
      <w:r>
        <w:t>Numerical Interpretation Retained</w:t>
      </w:r>
    </w:p>
    <w:p>
      <w:r>
        <w:t>We did not rerun or alter the principal ranking results beyond the final diversity-aware mask-aware protocol already reported. The fixed main values remain:</w:t>
      </w:r>
    </w:p>
    <w:p>
      <w:pPr>
        <w:pStyle w:val="ListBullet"/>
        <w:spacing w:after="80"/>
      </w:pPr>
      <w:r>
        <w:t>WeightedSum: Rel@5 = 0.8479, NDCG@5 = 1.0000, diversity = 0.0187.</w:t>
      </w:r>
    </w:p>
    <w:p>
      <w:pPr>
        <w:pStyle w:val="ListBullet"/>
        <w:spacing w:after="80"/>
      </w:pPr>
      <w:r>
        <w:t>LEA: Rel@5 = 0.8479, NDCG@5 = 1.0000, diversity = 0.0224.</w:t>
      </w:r>
    </w:p>
    <w:p>
      <w:pPr>
        <w:pStyle w:val="ListBullet"/>
        <w:spacing w:after="80"/>
      </w:pPr>
      <w:r>
        <w:t>MMR: Rel@5 = 0.8479, NDCG@5 = 1.0000, diversity = 0.0241; highest relevance-preserving diversity but slowest.</w:t>
      </w:r>
    </w:p>
    <w:p>
      <w:pPr>
        <w:pStyle w:val="ListBullet"/>
        <w:spacing w:after="80"/>
      </w:pPr>
      <w:r>
        <w:t>ParetoCrowding: Rel@5 = 0.8447, NDCG@5 = 0.9952, diversity = 0.0263; highest diversity with a slight relevance/NDCG drop.</w:t>
      </w:r>
    </w:p>
    <w:p>
      <w:pPr>
        <w:pStyle w:val="Heading1"/>
      </w:pPr>
      <w:r>
        <w:t>Remaining Scientific Limitation</w:t>
      </w:r>
    </w:p>
    <w:p>
      <w:r>
        <w:t>The manuscript now states plainly that the results are computational candidate-prioritization and explanation outputs. No experimental synthesis, adsorption uptake, porosity, DFT, CIF-derived graph, expert-labeled relevance, or human usefulness validation is claimed. A larger expert-labeled query set and full descriptor reconstruction would be the strongest next step for journal submission.</w:t>
      </w:r>
    </w:p>
    <w:p>
      <w:pPr>
        <w:pStyle w:val="Heading1"/>
      </w:pPr>
      <w:r>
        <w:t>Files Updated</w:t>
      </w:r>
    </w:p>
    <w:p>
      <w:pPr>
        <w:pStyle w:val="ListBullet"/>
        <w:spacing w:after="80"/>
      </w:pPr>
      <w:r>
        <w:t>main manuscript and supplementary material</w:t>
      </w:r>
    </w:p>
    <w:p>
      <w:pPr>
        <w:pStyle w:val="ListBullet"/>
        <w:spacing w:after="80"/>
      </w:pPr>
      <w:r>
        <w:t>final radar and supplementary diversity-difference figures</w:t>
      </w:r>
    </w:p>
    <w:p>
      <w:pPr>
        <w:pStyle w:val="ListBullet"/>
        <w:spacing w:after="80"/>
      </w:pPr>
      <w:r>
        <w:t>README, reproduction commands, revision changelog, reviewer matrix, and final audit notes</w:t>
      </w:r>
    </w:p>
    <w:p>
      <w:pPr>
        <w:pStyle w:val="ListBullet"/>
        <w:spacing w:after="80"/>
      </w:pPr>
      <w:r>
        <w:t>machine-readable final consistency artifacts under artifacts/final_consistency_audit/</w:t>
      </w:r>
    </w:p>
    <w:p>
      <w:r>
        <w:t>Sincerely,</w:t>
      </w:r>
    </w:p>
    <w:p>
      <w:r>
        <w:t>Mehrdad Jalali and co-authors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