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QMOF-Rec Final Diversity-Aware Revision: Friendly Response Summary</w:t>
      </w:r>
    </w:p>
    <w:p>
      <w:r>
        <w:t>Dear Arnd,</w:t>
      </w:r>
    </w:p>
    <w:p>
      <w:r>
        <w:t>Thank you again for the careful review and for pushing us to separate the historical artifacts from the corrected mask-aware implementation. We completed an additional final rerun after diagnosing an unexpected zero-diversity result in the first mask-aware protocol.</w:t>
      </w:r>
    </w:p>
    <w:p>
      <w:r>
        <w:rPr>
          <w:b/>
        </w:rPr>
        <w:t>Main correction</w:t>
      </w:r>
    </w:p>
    <w:p>
      <w:r>
        <w:t>The zero-diversity result was traced to the diversity representation, not to identical raw materials or a pairwise-distance bug. Band gap and density were binned into coarse utility scores, and the stability proxy often inherited the binned density score. Different CO2 candidates therefore collapsed to identical active objective vectors.</w:t>
      </w:r>
    </w:p>
    <w:p>
      <w:r>
        <w:rPr>
          <w:b/>
        </w:rPr>
        <w:t>Final protocol</w:t>
      </w:r>
    </w:p>
    <w:p>
      <w:r>
        <w:t>We preserved the previous final-masked artifacts, added a final diversity-aware configuration, and reran all ranking methods across five query scenarios, ten seeds, shared candidate pools, and pool-size sensitivity at 50, 100, and 200. The final diversity metric uses a full-precision hybrid material representation: observed density, observed band gap, formula-derived descriptors, and formula-derived graph proxies. Void fraction remains excluded because it is unavailable for all records.</w:t>
      </w:r>
    </w:p>
    <w:p>
      <w:r>
        <w:rPr>
          <w:b/>
        </w:rPr>
        <w:t>Final ranking outcome</w:t>
      </w:r>
    </w:p>
    <w:p>
      <w:r>
        <w:t>WeightedSum, TOPSIS, MMR, and baseline LEA tie on Rel@5 = 0.8479 and NDCG@5 = 1.0000. LEA increases diversity from 0.0187 for WeightedSum to 0.0224, while MMR is slightly higher at 0.0241 but much slower. ParetoCrowding reaches 0.0263 diversity but with lower Rel@5 = 0.8447 and NDCG@5 = 0.9952.</w:t>
      </w:r>
    </w:p>
    <w:p>
      <w:r>
        <w:rPr>
          <w:b/>
        </w:rPr>
        <w:t>Explanation evaluation</w:t>
      </w:r>
    </w:p>
    <w:p>
      <w:r>
        <w:t>The final candidate-conditioned local grounded explanation rerun covers 30 queries across seven scenarios. It achieved 5.0/5 groundedness, 5.0/5 metadata consistency, 5.0/5 limitation awareness, 4.5/5 explanation quality, and 0% automated hallucination flags. Because the live chat service requires an external OpenAI API key in this checkout, the manuscript states clearly that this was a deterministic local rerun rather than a live API generation rerun.</w:t>
      </w:r>
    </w:p>
    <w:p>
      <w:r>
        <w:rPr>
          <w:b/>
        </w:rPr>
        <w:t>Manuscript changes</w:t>
      </w:r>
    </w:p>
    <w:p>
      <w:r>
        <w:t>We updated the abstract, Results, Discussion, Limitations, Tables 3-8, figure captions, supplementary diagnosis, catalog-coverage terminology, reproduction commands, and final audit. The main manuscript remains anonymous following the earlier author-list removal request, and a separate title_page.docx is included for non-blinded submission workflows.</w:t>
      </w:r>
    </w:p>
    <w:p>
      <w:r>
        <w:rPr>
          <w:b/>
        </w:rPr>
        <w:t>Remaining limitations</w:t>
      </w:r>
    </w:p>
    <w:p>
      <w:r>
        <w:t>The revision still does not claim experimental synthesis, adsorption uptake, DFT validation, porosity validation, expert-labeled relevance, online user evaluation, or CIF-derived graph validation. These are now stated explicitly as limits of the current study.</w:t>
      </w:r>
    </w:p>
    <w:p>
      <w:r>
        <w:t>Best regards,</w:t>
      </w:r>
    </w:p>
    <w:p>
      <w:r>
        <w:t>Mehrdad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