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4E79"/>
          <w:sz w:val="84"/>
          <w:szCs w:val="84"/>
        </w:rPr>
        <w:t xml:space="preserve">TenXPros</w:t>
      </w:r>
    </w:p>
    <w:p>
      <w:pPr>
        <w:spacing w:after="400"/>
        <w:jc w:val="center"/>
      </w:pPr>
      <w:r>
        <w:rPr>
          <w:color w:val="2E75B6"/>
          <w:sz w:val="32"/>
          <w:szCs w:val="32"/>
        </w:rPr>
        <w:t xml:space="preserve">Adaptive AI Certification Program</w:t>
      </w:r>
    </w:p>
    <w:p>
      <w:pPr>
        <w:pBdr>
          <w:top w:val="single" w:color="1F4E79" w:sz="8" w:space="8"/>
          <w:bottom w:val="single" w:color="1F4E79" w:sz="8" w:space="8"/>
        </w:pBdr>
        <w:spacing w:after="200"/>
        <w:jc w:val="center"/>
      </w:pPr>
      <w:r>
        <w:rPr>
          <w:i/>
          <w:iCs/>
          <w:color w:val="404040"/>
          <w:sz w:val="32"/>
          <w:szCs w:val="32"/>
        </w:rPr>
        <w:t xml:space="preserve">Frame. Design. Prove. Foresee.</w:t>
      </w:r>
    </w:p>
    <w:p>
      <w:pPr>
        <w:spacing w:before="600"/>
      </w:pPr>
    </w:p>
    <w:p>
      <w:pPr>
        <w:spacing w:after="200"/>
        <w:jc w:val="center"/>
      </w:pPr>
      <w:r>
        <w:rPr>
          <w:i/>
          <w:iCs/>
          <w:color w:val="404040"/>
          <w:sz w:val="28"/>
          <w:szCs w:val="28"/>
        </w:rPr>
        <w:t xml:space="preserve">You bring the domain. We bring the AI method.</w:t>
      </w:r>
    </w:p>
    <w:p>
      <w:pPr>
        <w:spacing w:after="200"/>
        <w:jc w:val="center"/>
      </w:pPr>
      <w:r>
        <w:rPr>
          <w:i/>
          <w:iCs/>
          <w:color w:val="404040"/>
          <w:sz w:val="28"/>
          <w:szCs w:val="28"/>
        </w:rPr>
        <w:t xml:space="preserve">In 12 weeks, we make you a TenXPro.</w:t>
      </w:r>
    </w:p>
    <w:p>
      <w:pPr>
        <w:spacing w:before="2000"/>
      </w:pPr>
    </w:p>
    <w:p>
      <w:pPr>
        <w:jc w:val="center"/>
      </w:pPr>
      <w:r>
        <w:rPr>
          <w:color w:val="595959"/>
          <w:sz w:val="22"/>
          <w:szCs w:val="22"/>
        </w:rPr>
        <w:t xml:space="preserve">Final Integrated Strategy &amp; Operations Document — v3</w:t>
      </w:r>
    </w:p>
    <w:p>
      <w:pPr>
        <w:spacing w:after="100"/>
        <w:jc w:val="center"/>
      </w:pPr>
      <w:r>
        <w:rPr>
          <w:color w:val="808080"/>
          <w:sz w:val="20"/>
          <w:szCs w:val="20"/>
        </w:rPr>
        <w:t xml:space="preserve">Founder-Led, Async-First, Coach-Supported, Expert-Supervised</w:t>
      </w:r>
    </w:p>
    <w:p>
      <w:r>
        <w:br w:type="page"/>
      </w:r>
    </w:p>
    <w:p>
      <w:pPr>
        <w:pStyle w:val="Heading1"/>
        <w:spacing w:after="200" w:before="360"/>
      </w:pPr>
      <w:r>
        <w:rPr>
          <w:b/>
          <w:bCs/>
          <w:color w:val="1F4E79"/>
          <w:sz w:val="36"/>
          <w:szCs w:val="36"/>
        </w:rPr>
        <w:t xml:space="preserve">Table of Contents</w:t>
      </w:r>
    </w:p>
    <w:p>
      <w:pPr>
        <w:spacing w:after="200"/>
      </w:pPr>
    </w:p>
    <w:p>
      <w:pPr>
        <w:tabs>
          <w:tab w:val="right" w:pos="9000" w:leader="dot"/>
        </w:tabs>
        <w:spacing w:after="100" w:line="280"/>
      </w:pPr>
      <w:r>
        <w:rPr>
          <w:sz w:val="22"/>
          <w:szCs w:val="22"/>
        </w:rPr>
        <w:t xml:space="preserve">1.  Executive Summary</w:t>
      </w:r>
      <w:r>
        <w:rPr>
          <w:color w:val="595959"/>
          <w:sz w:val="22"/>
          <w:szCs w:val="22"/>
        </w:rPr>
        <w:t xml:space="preserve">	4</w:t>
      </w:r>
    </w:p>
    <w:p>
      <w:pPr>
        <w:tabs>
          <w:tab w:val="right" w:pos="9000" w:leader="dot"/>
        </w:tabs>
        <w:spacing w:after="100" w:line="280"/>
      </w:pPr>
      <w:r>
        <w:rPr>
          <w:sz w:val="22"/>
          <w:szCs w:val="22"/>
        </w:rPr>
        <w:t xml:space="preserve">2.  The Core Concept and Why It Matters</w:t>
      </w:r>
      <w:r>
        <w:rPr>
          <w:color w:val="595959"/>
          <w:sz w:val="22"/>
          <w:szCs w:val="22"/>
        </w:rPr>
        <w:t xml:space="preserve">	6</w:t>
      </w:r>
    </w:p>
    <w:p>
      <w:pPr>
        <w:tabs>
          <w:tab w:val="right" w:pos="9000" w:leader="dot"/>
        </w:tabs>
        <w:spacing w:after="100" w:line="280"/>
      </w:pPr>
      <w:r>
        <w:rPr>
          <w:sz w:val="22"/>
          <w:szCs w:val="22"/>
        </w:rPr>
        <w:t xml:space="preserve">3.  Positioning and Brand Narrative</w:t>
      </w:r>
      <w:r>
        <w:rPr>
          <w:color w:val="595959"/>
          <w:sz w:val="22"/>
          <w:szCs w:val="22"/>
        </w:rPr>
        <w:t xml:space="preserve">	8</w:t>
      </w:r>
    </w:p>
    <w:p>
      <w:pPr>
        <w:tabs>
          <w:tab w:val="right" w:pos="9000" w:leader="dot"/>
        </w:tabs>
        <w:spacing w:after="100" w:line="280"/>
      </w:pPr>
      <w:r>
        <w:rPr>
          <w:sz w:val="22"/>
          <w:szCs w:val="22"/>
        </w:rPr>
        <w:t xml:space="preserve">4.  The Three Questions TenXPros Answers</w:t>
      </w:r>
      <w:r>
        <w:rPr>
          <w:color w:val="595959"/>
          <w:sz w:val="22"/>
          <w:szCs w:val="22"/>
        </w:rPr>
        <w:t xml:space="preserve">	10</w:t>
      </w:r>
    </w:p>
    <w:p>
      <w:pPr>
        <w:tabs>
          <w:tab w:val="right" w:pos="9000" w:leader="dot"/>
        </w:tabs>
        <w:spacing w:after="100" w:line="280"/>
      </w:pPr>
      <w:r>
        <w:rPr>
          <w:sz w:val="22"/>
          <w:szCs w:val="22"/>
        </w:rPr>
        <w:t xml:space="preserve">5.  Who TenXPros Is For (and Who It Is Not For)</w:t>
      </w:r>
      <w:r>
        <w:rPr>
          <w:color w:val="595959"/>
          <w:sz w:val="22"/>
          <w:szCs w:val="22"/>
        </w:rPr>
        <w:t xml:space="preserve">	11</w:t>
      </w:r>
    </w:p>
    <w:p>
      <w:pPr>
        <w:tabs>
          <w:tab w:val="right" w:pos="9000" w:leader="dot"/>
        </w:tabs>
        <w:spacing w:after="100" w:line="280"/>
      </w:pPr>
      <w:r>
        <w:rPr>
          <w:sz w:val="22"/>
          <w:szCs w:val="22"/>
        </w:rPr>
        <w:t xml:space="preserve">6.  The Final Credential: Certified TenXPro</w:t>
      </w:r>
      <w:r>
        <w:rPr>
          <w:color w:val="595959"/>
          <w:sz w:val="22"/>
          <w:szCs w:val="22"/>
        </w:rPr>
        <w:t xml:space="preserve">	13</w:t>
      </w:r>
    </w:p>
    <w:p>
      <w:pPr>
        <w:tabs>
          <w:tab w:val="right" w:pos="9000" w:leader="dot"/>
        </w:tabs>
        <w:spacing w:after="100" w:line="280"/>
      </w:pPr>
      <w:r>
        <w:rPr>
          <w:sz w:val="22"/>
          <w:szCs w:val="22"/>
        </w:rPr>
        <w:t xml:space="preserve">7.  The User Journey: From Pro to Certified TenXPro</w:t>
      </w:r>
      <w:r>
        <w:rPr>
          <w:color w:val="595959"/>
          <w:sz w:val="22"/>
          <w:szCs w:val="22"/>
        </w:rPr>
        <w:t xml:space="preserve">	14</w:t>
      </w:r>
    </w:p>
    <w:p>
      <w:pPr>
        <w:tabs>
          <w:tab w:val="right" w:pos="9000" w:leader="dot"/>
        </w:tabs>
        <w:spacing w:after="100" w:line="280"/>
      </w:pPr>
      <w:r>
        <w:rPr>
          <w:sz w:val="22"/>
          <w:szCs w:val="22"/>
        </w:rPr>
        <w:t xml:space="preserve">8.  The Four-Phase Program Structure</w:t>
      </w:r>
      <w:r>
        <w:rPr>
          <w:color w:val="595959"/>
          <w:sz w:val="22"/>
          <w:szCs w:val="22"/>
        </w:rPr>
        <w:t xml:space="preserve">	17</w:t>
      </w:r>
    </w:p>
    <w:p>
      <w:pPr>
        <w:tabs>
          <w:tab w:val="right" w:pos="9000" w:leader="dot"/>
        </w:tabs>
        <w:spacing w:after="100" w:line="280"/>
      </w:pPr>
      <w:r>
        <w:rPr>
          <w:sz w:val="22"/>
          <w:szCs w:val="22"/>
        </w:rPr>
        <w:t xml:space="preserve">9.  The Eleven Modules (Internal Architecture)</w:t>
      </w:r>
      <w:r>
        <w:rPr>
          <w:color w:val="595959"/>
          <w:sz w:val="22"/>
          <w:szCs w:val="22"/>
        </w:rPr>
        <w:t xml:space="preserve">	19</w:t>
      </w:r>
    </w:p>
    <w:p>
      <w:pPr>
        <w:tabs>
          <w:tab w:val="right" w:pos="9000" w:leader="dot"/>
        </w:tabs>
        <w:spacing w:after="100" w:line="280"/>
      </w:pPr>
      <w:r>
        <w:rPr>
          <w:sz w:val="22"/>
          <w:szCs w:val="22"/>
        </w:rPr>
        <w:t xml:space="preserve">10.  The Three Ranks and Badge System</w:t>
      </w:r>
      <w:r>
        <w:rPr>
          <w:color w:val="595959"/>
          <w:sz w:val="22"/>
          <w:szCs w:val="22"/>
        </w:rPr>
        <w:t xml:space="preserve">	23</w:t>
      </w:r>
    </w:p>
    <w:p>
      <w:pPr>
        <w:tabs>
          <w:tab w:val="right" w:pos="9000" w:leader="dot"/>
        </w:tabs>
        <w:spacing w:after="100" w:line="280"/>
      </w:pPr>
      <w:r>
        <w:rPr>
          <w:sz w:val="22"/>
          <w:szCs w:val="22"/>
        </w:rPr>
        <w:t xml:space="preserve">11.  Adaptive Personalization: How the Path Is Tailored</w:t>
      </w:r>
      <w:r>
        <w:rPr>
          <w:color w:val="595959"/>
          <w:sz w:val="22"/>
          <w:szCs w:val="22"/>
        </w:rPr>
        <w:t xml:space="preserve">	25</w:t>
      </w:r>
    </w:p>
    <w:p>
      <w:pPr>
        <w:tabs>
          <w:tab w:val="right" w:pos="9000" w:leader="dot"/>
        </w:tabs>
        <w:spacing w:after="100" w:line="280"/>
      </w:pPr>
      <w:r>
        <w:rPr>
          <w:sz w:val="22"/>
          <w:szCs w:val="22"/>
        </w:rPr>
        <w:t xml:space="preserve">12.  Domain Adaptation: The Dynamic Approach</w:t>
      </w:r>
      <w:r>
        <w:rPr>
          <w:color w:val="595959"/>
          <w:sz w:val="22"/>
          <w:szCs w:val="22"/>
        </w:rPr>
        <w:t xml:space="preserve">	29</w:t>
      </w:r>
    </w:p>
    <w:p>
      <w:pPr>
        <w:tabs>
          <w:tab w:val="right" w:pos="9000" w:leader="dot"/>
        </w:tabs>
        <w:spacing w:after="100" w:line="280"/>
      </w:pPr>
      <w:r>
        <w:rPr>
          <w:sz w:val="22"/>
          <w:szCs w:val="22"/>
        </w:rPr>
        <w:t xml:space="preserve">13.  The Living AI Solution Dossier</w:t>
      </w:r>
      <w:r>
        <w:rPr>
          <w:color w:val="595959"/>
          <w:sz w:val="22"/>
          <w:szCs w:val="22"/>
        </w:rPr>
        <w:t xml:space="preserve">	31</w:t>
      </w:r>
    </w:p>
    <w:p>
      <w:pPr>
        <w:tabs>
          <w:tab w:val="right" w:pos="9000" w:leader="dot"/>
        </w:tabs>
        <w:spacing w:after="100" w:line="280"/>
      </w:pPr>
      <w:r>
        <w:rPr>
          <w:sz w:val="22"/>
          <w:szCs w:val="22"/>
        </w:rPr>
        <w:t xml:space="preserve">14.  The Capstone and Certification Decision</w:t>
      </w:r>
      <w:r>
        <w:rPr>
          <w:color w:val="595959"/>
          <w:sz w:val="22"/>
          <w:szCs w:val="22"/>
        </w:rPr>
        <w:t xml:space="preserve">	33</w:t>
      </w:r>
    </w:p>
    <w:p>
      <w:pPr>
        <w:tabs>
          <w:tab w:val="right" w:pos="9000" w:leader="dot"/>
        </w:tabs>
        <w:spacing w:after="100" w:line="280"/>
      </w:pPr>
      <w:r>
        <w:rPr>
          <w:sz w:val="22"/>
          <w:szCs w:val="22"/>
        </w:rPr>
        <w:t xml:space="preserve">15.  Async-First Delivery Model</w:t>
      </w:r>
      <w:r>
        <w:rPr>
          <w:color w:val="595959"/>
          <w:sz w:val="22"/>
          <w:szCs w:val="22"/>
        </w:rPr>
        <w:t xml:space="preserve">	34</w:t>
      </w:r>
    </w:p>
    <w:p>
      <w:pPr>
        <w:tabs>
          <w:tab w:val="right" w:pos="9000" w:leader="dot"/>
        </w:tabs>
        <w:spacing w:after="100" w:line="280"/>
      </w:pPr>
      <w:r>
        <w:rPr>
          <w:sz w:val="22"/>
          <w:szCs w:val="22"/>
        </w:rPr>
        <w:t xml:space="preserve">16.  The Coach System</w:t>
      </w:r>
      <w:r>
        <w:rPr>
          <w:color w:val="595959"/>
          <w:sz w:val="22"/>
          <w:szCs w:val="22"/>
        </w:rPr>
        <w:t xml:space="preserve">	36</w:t>
      </w:r>
    </w:p>
    <w:p>
      <w:pPr>
        <w:tabs>
          <w:tab w:val="right" w:pos="9000" w:leader="dot"/>
        </w:tabs>
        <w:spacing w:after="100" w:line="280"/>
      </w:pPr>
      <w:r>
        <w:rPr>
          <w:sz w:val="22"/>
          <w:szCs w:val="22"/>
        </w:rPr>
        <w:t xml:space="preserve">17.  TenXPros Coach Pipeline (Alumni Pathway)</w:t>
      </w:r>
      <w:r>
        <w:rPr>
          <w:color w:val="595959"/>
          <w:sz w:val="22"/>
          <w:szCs w:val="22"/>
        </w:rPr>
        <w:t xml:space="preserve">	38</w:t>
      </w:r>
    </w:p>
    <w:p>
      <w:pPr>
        <w:tabs>
          <w:tab w:val="right" w:pos="9000" w:leader="dot"/>
        </w:tabs>
        <w:spacing w:after="100" w:line="280"/>
      </w:pPr>
      <w:r>
        <w:rPr>
          <w:sz w:val="22"/>
          <w:szCs w:val="22"/>
        </w:rPr>
        <w:t xml:space="preserve">18.  The TenXPros Community</w:t>
      </w:r>
      <w:r>
        <w:rPr>
          <w:color w:val="595959"/>
          <w:sz w:val="22"/>
          <w:szCs w:val="22"/>
        </w:rPr>
        <w:t xml:space="preserve">	40</w:t>
      </w:r>
    </w:p>
    <w:p>
      <w:pPr>
        <w:tabs>
          <w:tab w:val="right" w:pos="9000" w:leader="dot"/>
        </w:tabs>
        <w:spacing w:after="100" w:line="280"/>
      </w:pPr>
      <w:r>
        <w:rPr>
          <w:sz w:val="22"/>
          <w:szCs w:val="22"/>
        </w:rPr>
        <w:t xml:space="preserve">19.  Support Model and Fair Use</w:t>
      </w:r>
      <w:r>
        <w:rPr>
          <w:color w:val="595959"/>
          <w:sz w:val="22"/>
          <w:szCs w:val="22"/>
        </w:rPr>
        <w:t xml:space="preserve">	42</w:t>
      </w:r>
    </w:p>
    <w:p>
      <w:pPr>
        <w:tabs>
          <w:tab w:val="right" w:pos="9000" w:leader="dot"/>
        </w:tabs>
        <w:spacing w:after="100" w:line="280"/>
      </w:pPr>
      <w:r>
        <w:rPr>
          <w:sz w:val="22"/>
          <w:szCs w:val="22"/>
        </w:rPr>
        <w:t xml:space="preserve">20.  Module Miss and Re-Entry Policy</w:t>
      </w:r>
      <w:r>
        <w:rPr>
          <w:color w:val="595959"/>
          <w:sz w:val="22"/>
          <w:szCs w:val="22"/>
        </w:rPr>
        <w:t xml:space="preserve">	43</w:t>
      </w:r>
    </w:p>
    <w:p>
      <w:pPr>
        <w:tabs>
          <w:tab w:val="right" w:pos="9000" w:leader="dot"/>
        </w:tabs>
        <w:spacing w:after="100" w:line="280"/>
      </w:pPr>
      <w:r>
        <w:rPr>
          <w:sz w:val="22"/>
          <w:szCs w:val="22"/>
        </w:rPr>
        <w:t xml:space="preserve">21.  Five-Tier Charter Pricing</w:t>
      </w:r>
      <w:r>
        <w:rPr>
          <w:color w:val="595959"/>
          <w:sz w:val="22"/>
          <w:szCs w:val="22"/>
        </w:rPr>
        <w:t xml:space="preserve">	44</w:t>
      </w:r>
    </w:p>
    <w:p>
      <w:pPr>
        <w:tabs>
          <w:tab w:val="right" w:pos="9000" w:leader="dot"/>
        </w:tabs>
        <w:spacing w:after="100" w:line="280"/>
      </w:pPr>
      <w:r>
        <w:rPr>
          <w:sz w:val="22"/>
          <w:szCs w:val="22"/>
        </w:rPr>
        <w:t xml:space="preserve">22.  Charter Benefits by Tier</w:t>
      </w:r>
      <w:r>
        <w:rPr>
          <w:color w:val="595959"/>
          <w:sz w:val="22"/>
          <w:szCs w:val="22"/>
        </w:rPr>
        <w:t xml:space="preserve">	46</w:t>
      </w:r>
    </w:p>
    <w:p>
      <w:pPr>
        <w:tabs>
          <w:tab w:val="right" w:pos="9000" w:leader="dot"/>
        </w:tabs>
        <w:spacing w:after="100" w:line="280"/>
      </w:pPr>
      <w:r>
        <w:rPr>
          <w:sz w:val="22"/>
          <w:szCs w:val="22"/>
        </w:rPr>
        <w:t xml:space="preserve">23.  Transition Strategy: Honest Pricing Evolution</w:t>
      </w:r>
      <w:r>
        <w:rPr>
          <w:color w:val="595959"/>
          <w:sz w:val="22"/>
          <w:szCs w:val="22"/>
        </w:rPr>
        <w:t xml:space="preserve">	48</w:t>
      </w:r>
    </w:p>
    <w:p>
      <w:pPr>
        <w:tabs>
          <w:tab w:val="right" w:pos="9000" w:leader="dot"/>
        </w:tabs>
        <w:spacing w:after="100" w:line="280"/>
      </w:pPr>
      <w:r>
        <w:rPr>
          <w:sz w:val="22"/>
          <w:szCs w:val="22"/>
        </w:rPr>
        <w:t xml:space="preserve">24.  TenXPros Directory: Visibility and Opportunity</w:t>
      </w:r>
      <w:r>
        <w:rPr>
          <w:color w:val="595959"/>
          <w:sz w:val="22"/>
          <w:szCs w:val="22"/>
        </w:rPr>
        <w:t xml:space="preserve">	49</w:t>
      </w:r>
    </w:p>
    <w:p>
      <w:pPr>
        <w:tabs>
          <w:tab w:val="right" w:pos="9000" w:leader="dot"/>
        </w:tabs>
        <w:spacing w:after="100" w:line="280"/>
      </w:pPr>
      <w:r>
        <w:rPr>
          <w:sz w:val="22"/>
          <w:szCs w:val="22"/>
        </w:rPr>
        <w:t xml:space="preserve">25.  What Is Included and What Is Not</w:t>
      </w:r>
      <w:r>
        <w:rPr>
          <w:color w:val="595959"/>
          <w:sz w:val="22"/>
          <w:szCs w:val="22"/>
        </w:rPr>
        <w:t xml:space="preserve">	51</w:t>
      </w:r>
    </w:p>
    <w:p>
      <w:pPr>
        <w:tabs>
          <w:tab w:val="right" w:pos="9000" w:leader="dot"/>
        </w:tabs>
        <w:spacing w:after="100" w:line="280"/>
      </w:pPr>
      <w:r>
        <w:rPr>
          <w:sz w:val="22"/>
          <w:szCs w:val="22"/>
        </w:rPr>
        <w:t xml:space="preserve">26.  Add-On Services</w:t>
      </w:r>
      <w:r>
        <w:rPr>
          <w:color w:val="595959"/>
          <w:sz w:val="22"/>
          <w:szCs w:val="22"/>
        </w:rPr>
        <w:t xml:space="preserve">	53</w:t>
      </w:r>
    </w:p>
    <w:p>
      <w:pPr>
        <w:tabs>
          <w:tab w:val="right" w:pos="9000" w:leader="dot"/>
        </w:tabs>
        <w:spacing w:after="100" w:line="280"/>
      </w:pPr>
      <w:r>
        <w:rPr>
          <w:sz w:val="22"/>
          <w:szCs w:val="22"/>
        </w:rPr>
        <w:t xml:space="preserve">27.  Updates Access and Loyalty Discount</w:t>
      </w:r>
      <w:r>
        <w:rPr>
          <w:color w:val="595959"/>
          <w:sz w:val="22"/>
          <w:szCs w:val="22"/>
        </w:rPr>
        <w:t xml:space="preserve">	54</w:t>
      </w:r>
    </w:p>
    <w:p>
      <w:pPr>
        <w:tabs>
          <w:tab w:val="right" w:pos="9000" w:leader="dot"/>
        </w:tabs>
        <w:spacing w:after="100" w:line="280"/>
      </w:pPr>
      <w:r>
        <w:rPr>
          <w:sz w:val="22"/>
          <w:szCs w:val="22"/>
        </w:rPr>
        <w:t xml:space="preserve">28.  Alumni: TenXPro Radar</w:t>
      </w:r>
      <w:r>
        <w:rPr>
          <w:color w:val="595959"/>
          <w:sz w:val="22"/>
          <w:szCs w:val="22"/>
        </w:rPr>
        <w:t xml:space="preserve">	55</w:t>
      </w:r>
    </w:p>
    <w:p>
      <w:pPr>
        <w:tabs>
          <w:tab w:val="right" w:pos="9000" w:leader="dot"/>
        </w:tabs>
        <w:spacing w:after="100" w:line="280"/>
      </w:pPr>
      <w:r>
        <w:rPr>
          <w:sz w:val="22"/>
          <w:szCs w:val="22"/>
        </w:rPr>
        <w:t xml:space="preserve">29.  Why This Model Will Succeed</w:t>
      </w:r>
      <w:r>
        <w:rPr>
          <w:color w:val="595959"/>
          <w:sz w:val="22"/>
          <w:szCs w:val="22"/>
        </w:rPr>
        <w:t xml:space="preserve">	56</w:t>
      </w:r>
    </w:p>
    <w:p>
      <w:pPr>
        <w:tabs>
          <w:tab w:val="right" w:pos="9000" w:leader="dot"/>
        </w:tabs>
        <w:spacing w:after="100" w:line="280"/>
      </w:pPr>
      <w:r>
        <w:rPr>
          <w:sz w:val="22"/>
          <w:szCs w:val="22"/>
        </w:rPr>
        <w:t xml:space="preserve">30.  Operational Roadmap: First 12 Months</w:t>
      </w:r>
      <w:r>
        <w:rPr>
          <w:color w:val="595959"/>
          <w:sz w:val="22"/>
          <w:szCs w:val="22"/>
        </w:rPr>
        <w:t xml:space="preserve">	58</w:t>
      </w:r>
    </w:p>
    <w:p>
      <w:pPr>
        <w:tabs>
          <w:tab w:val="right" w:pos="9000" w:leader="dot"/>
        </w:tabs>
        <w:spacing w:after="100" w:line="280"/>
      </w:pPr>
      <w:r>
        <w:rPr>
          <w:sz w:val="22"/>
          <w:szCs w:val="22"/>
        </w:rPr>
        <w:t xml:space="preserve">31.  Risk Management and Honest Constraints</w:t>
      </w:r>
      <w:r>
        <w:rPr>
          <w:color w:val="595959"/>
          <w:sz w:val="22"/>
          <w:szCs w:val="22"/>
        </w:rPr>
        <w:t xml:space="preserve">	61</w:t>
      </w:r>
    </w:p>
    <w:p>
      <w:pPr>
        <w:tabs>
          <w:tab w:val="right" w:pos="9000" w:leader="dot"/>
        </w:tabs>
        <w:spacing w:after="100" w:line="280"/>
      </w:pPr>
      <w:r>
        <w:rPr>
          <w:sz w:val="22"/>
          <w:szCs w:val="22"/>
        </w:rPr>
        <w:t xml:space="preserve">32.  Final Definition and Strategic Decision</w:t>
      </w:r>
      <w:r>
        <w:rPr>
          <w:color w:val="595959"/>
          <w:sz w:val="22"/>
          <w:szCs w:val="22"/>
        </w:rPr>
        <w:t xml:space="preserve">	63</w:t>
      </w:r>
    </w:p>
    <w:p>
      <w:r>
        <w:br w:type="page"/>
      </w:r>
    </w:p>
    <w:p>
      <w:pPr>
        <w:pStyle w:val="Heading1"/>
        <w:spacing w:after="200" w:before="360"/>
      </w:pPr>
      <w:r>
        <w:rPr>
          <w:b/>
          <w:bCs/>
          <w:color w:val="1F4E79"/>
          <w:sz w:val="36"/>
          <w:szCs w:val="36"/>
        </w:rPr>
        <w:t xml:space="preserve">1. Executive Summary</w:t>
      </w:r>
    </w:p>
    <w:p>
      <w:pPr>
        <w:spacing w:after="120" w:line="300"/>
        <w:jc w:val="left"/>
      </w:pPr>
      <w:r>
        <w:rPr>
          <w:sz w:val="22"/>
          <w:szCs w:val="22"/>
        </w:rPr>
        <w:t xml:space="preserve">TenXPros is an adaptive, async-first, expert-supervised AI certification program designed to transform serious professionals into Certified TenXPros: AI-ready problem solvers, responsible AI solution designers, and forward-looking strategic thinkers.</w:t>
      </w:r>
    </w:p>
    <w:p>
      <w:pPr>
        <w:spacing w:after="200"/>
      </w:pPr>
    </w:p>
    <w:p>
      <w:pPr>
        <w:spacing w:after="120" w:line="300"/>
        <w:jc w:val="left"/>
      </w:pPr>
      <w:r>
        <w:rPr>
          <w:sz w:val="22"/>
          <w:szCs w:val="22"/>
        </w:rPr>
        <w:t xml:space="preserve">The program rests on a single, powerful framing:</w:t>
      </w:r>
    </w:p>
    <w:p>
      <w:pPr>
        <w:pBdr>
          <w:left w:val="single" w:color="2E75B6" w:sz="18" w:space="12"/>
        </w:pBdr>
        <w:spacing w:after="160" w:before="160"/>
        <w:ind w:left="720" w:right="720"/>
      </w:pPr>
      <w:r>
        <w:rPr>
          <w:i/>
          <w:iCs/>
          <w:color w:val="404040"/>
          <w:sz w:val="24"/>
          <w:szCs w:val="24"/>
        </w:rPr>
        <w:t xml:space="preserve">You bring the domain expertise from your real professional life. We bring the AI method, structure, and guidance. Together, in 12 weeks, we turn one of your real problems into a responsible AI Solution Dossier — and you become a Certified TenXPro.</w:t>
      </w:r>
    </w:p>
    <w:p>
      <w:pPr>
        <w:spacing w:after="120" w:line="300"/>
        <w:jc w:val="left"/>
      </w:pPr>
      <w:r>
        <w:rPr>
          <w:sz w:val="22"/>
          <w:szCs w:val="22"/>
        </w:rPr>
        <w:t xml:space="preserve">The program operates on four foundational principles:</w:t>
      </w:r>
    </w:p>
    <w:p>
      <w:pPr>
        <w:pStyle w:val="ListParagraph"/>
        <w:numPr>
          <w:ilvl w:val="0"/>
          <w:numId w:val="2"/>
        </w:numPr>
        <w:spacing w:after="80" w:line="280"/>
      </w:pPr>
      <w:r>
        <w:rPr>
          <w:sz w:val="22"/>
          <w:szCs w:val="22"/>
        </w:rPr>
        <w:t xml:space="preserve">Standard framework: every participant develops the same core TenXPro capabilities across eleven modules and a capstone.</w:t>
      </w:r>
    </w:p>
    <w:p>
      <w:pPr>
        <w:pStyle w:val="ListParagraph"/>
        <w:numPr>
          <w:ilvl w:val="0"/>
          <w:numId w:val="2"/>
        </w:numPr>
        <w:spacing w:after="80" w:line="280"/>
      </w:pPr>
      <w:r>
        <w:rPr>
          <w:sz w:val="22"/>
          <w:szCs w:val="22"/>
        </w:rPr>
        <w:t xml:space="preserve">Personalized journey: every participant's path adapts to their field, problem, risks, goals, AI literacy, and context — across eight customization dimensions.</w:t>
      </w:r>
    </w:p>
    <w:p>
      <w:pPr>
        <w:pStyle w:val="ListParagraph"/>
        <w:numPr>
          <w:ilvl w:val="0"/>
          <w:numId w:val="2"/>
        </w:numPr>
        <w:spacing w:after="80" w:line="280"/>
      </w:pPr>
      <w:r>
        <w:rPr>
          <w:sz w:val="22"/>
          <w:szCs w:val="22"/>
        </w:rPr>
        <w:t xml:space="preserve">Expert-supervised certification: certification is awarded only when the participant's Dossier meets the standard.</w:t>
      </w:r>
    </w:p>
    <w:p>
      <w:pPr>
        <w:pStyle w:val="ListParagraph"/>
        <w:numPr>
          <w:ilvl w:val="0"/>
          <w:numId w:val="2"/>
        </w:numPr>
        <w:spacing w:after="80" w:line="280"/>
      </w:pPr>
      <w:r>
        <w:rPr>
          <w:sz w:val="22"/>
          <w:szCs w:val="22"/>
        </w:rPr>
        <w:t xml:space="preserve">Coach-supported delivery: every participant works with a personal AI coach throughout the 12 weeks.</w:t>
      </w:r>
    </w:p>
    <w:p>
      <w:pPr>
        <w:spacing w:after="200"/>
      </w:pPr>
    </w:p>
    <w:p>
      <w:pPr>
        <w:spacing w:after="120" w:line="300"/>
        <w:jc w:val="left"/>
      </w:pPr>
      <w:r>
        <w:rPr>
          <w:sz w:val="22"/>
          <w:szCs w:val="22"/>
        </w:rPr>
        <w:t xml:space="preserve">The final deliverable is not a certificate of attendance. It is a Living AI Solution Dossier — a structured, evidence-based portfolio demonstrating that the participant identified a real problem, evaluated whether AI was appropriate, designed a responsible AI-enabled solution, assessed risks, planned adoption, defined measurable value, and built a foresight plan for ongoing relevance.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EAF1F8" w:val="clear"/>
            <w:tcMar>
              <w:top w:type="dxa" w:w="200"/>
              <w:left w:type="dxa" w:w="280"/>
              <w:bottom w:type="dxa" w:w="200"/>
              <w:right w:type="dxa" w:w="280"/>
            </w:tcMar>
          </w:tcPr>
          <w:p>
            <w:pPr>
              <w:spacing w:after="100"/>
            </w:pPr>
            <w:r>
              <w:rPr>
                <w:b/>
                <w:bCs/>
                <w:color w:val="1F4E79"/>
                <w:sz w:val="24"/>
                <w:szCs w:val="24"/>
              </w:rPr>
              <w:t xml:space="preserve">Pricing at a glance — Five-tier charter structure</w:t>
            </w:r>
          </w:p>
          <w:p>
            <w:pPr>
              <w:spacing w:after="0"/>
            </w:pPr>
            <w:r>
              <w:rPr>
                <w:color w:val="262626"/>
                <w:sz w:val="22"/>
                <w:szCs w:val="22"/>
              </w:rPr>
              <w:t xml:space="preserve">Tier 1 (Founding Charter, members 1-10): $997. Tier 2 (Early Charter, members 11-20): $1,247. Tier 3 (Late Charter, members 21-30): $1,497. Tier 4 (Final Charter, members 31-40): $1,747. Standard (members 41-99): $1,997. Each tier opens only after the previous tier closes. The founder leads coaching for the earliest charter members; founder-trained TenXPros coaches join progressively as the program grows. From member 100+, pricing increases by $500 for every 100 new members. Every Certified TenXPro is featured in the public TenXPros Directory.</w:t>
            </w:r>
          </w:p>
        </w:tc>
      </w:tr>
    </w:tbl>
    <w:p>
      <w:pPr>
        <w:spacing w:after="200"/>
      </w:pPr>
    </w:p>
    <w:p>
      <w:pPr>
        <w:spacing w:after="120" w:line="300"/>
        <w:jc w:val="left"/>
      </w:pPr>
      <w:r>
        <w:rPr>
          <w:sz w:val="22"/>
          <w:szCs w:val="22"/>
        </w:rPr>
        <w:t xml:space="preserve">This document codifies the complete TenXPros operating system: the philosophy, the structure, the user journey, the eleven modules, the coach system, the adaptive personalization logic, the tiered pricing rationale, the community design, the support model, and the 12-month execution plan.</w:t>
      </w:r>
    </w:p>
    <w:p>
      <w:r>
        <w:br w:type="page"/>
      </w:r>
    </w:p>
    <w:p>
      <w:pPr>
        <w:pStyle w:val="Heading1"/>
        <w:spacing w:after="200" w:before="360"/>
      </w:pPr>
      <w:r>
        <w:rPr>
          <w:b/>
          <w:bCs/>
          <w:color w:val="1F4E79"/>
          <w:sz w:val="36"/>
          <w:szCs w:val="36"/>
        </w:rPr>
        <w:t xml:space="preserve">2. The Core Concept and Why It Matters</w:t>
      </w:r>
    </w:p>
    <w:p>
      <w:pPr>
        <w:pStyle w:val="Heading2"/>
        <w:spacing w:after="160" w:before="280"/>
      </w:pPr>
      <w:r>
        <w:rPr>
          <w:b/>
          <w:bCs/>
          <w:color w:val="2E75B6"/>
          <w:sz w:val="28"/>
          <w:szCs w:val="28"/>
        </w:rPr>
        <w:t xml:space="preserve">The Observation That Started This</w:t>
      </w:r>
    </w:p>
    <w:p>
      <w:pPr>
        <w:spacing w:after="120" w:line="300"/>
        <w:jc w:val="left"/>
      </w:pPr>
      <w:r>
        <w:rPr>
          <w:sz w:val="22"/>
          <w:szCs w:val="22"/>
        </w:rPr>
        <w:t xml:space="preserve">Millions of professionals are now using AI tools. They have tried ChatGPT, summarized documents, generated emails, and automated small tasks. They have completed AI literacy courses, watched tutorials, and earned generic certificates from large platforms.</w:t>
      </w:r>
    </w:p>
    <w:p>
      <w:pPr>
        <w:spacing w:after="200"/>
      </w:pPr>
    </w:p>
    <w:p>
      <w:pPr>
        <w:spacing w:after="120" w:line="300"/>
        <w:jc w:val="left"/>
      </w:pPr>
      <w:r>
        <w:rPr>
          <w:sz w:val="22"/>
          <w:szCs w:val="22"/>
        </w:rPr>
        <w:t xml:space="preserve">And yet, when they return to their actual work — their clients, their patients, their students, their cases, their reports — they freeze. Because the deeper questions remain unanswered:</w:t>
      </w:r>
    </w:p>
    <w:p>
      <w:pPr>
        <w:pStyle w:val="ListParagraph"/>
        <w:numPr>
          <w:ilvl w:val="0"/>
          <w:numId w:val="2"/>
        </w:numPr>
        <w:spacing w:after="80" w:line="280"/>
      </w:pPr>
      <w:r>
        <w:rPr>
          <w:sz w:val="22"/>
          <w:szCs w:val="22"/>
        </w:rPr>
        <w:t xml:space="preserve">What is the real problem I am trying to solve?</w:t>
      </w:r>
    </w:p>
    <w:p>
      <w:pPr>
        <w:pStyle w:val="ListParagraph"/>
        <w:numPr>
          <w:ilvl w:val="0"/>
          <w:numId w:val="2"/>
        </w:numPr>
        <w:spacing w:after="80" w:line="280"/>
      </w:pPr>
      <w:r>
        <w:rPr>
          <w:sz w:val="22"/>
          <w:szCs w:val="22"/>
        </w:rPr>
        <w:t xml:space="preserve">Is AI actually the right approach for this problem?</w:t>
      </w:r>
    </w:p>
    <w:p>
      <w:pPr>
        <w:pStyle w:val="ListParagraph"/>
        <w:numPr>
          <w:ilvl w:val="0"/>
          <w:numId w:val="2"/>
        </w:numPr>
        <w:spacing w:after="80" w:line="280"/>
      </w:pPr>
      <w:r>
        <w:rPr>
          <w:sz w:val="22"/>
          <w:szCs w:val="22"/>
        </w:rPr>
        <w:t xml:space="preserve">What parts of this work should remain human-led?</w:t>
      </w:r>
    </w:p>
    <w:p>
      <w:pPr>
        <w:pStyle w:val="ListParagraph"/>
        <w:numPr>
          <w:ilvl w:val="0"/>
          <w:numId w:val="2"/>
        </w:numPr>
        <w:spacing w:after="80" w:line="280"/>
      </w:pPr>
      <w:r>
        <w:rPr>
          <w:sz w:val="22"/>
          <w:szCs w:val="22"/>
        </w:rPr>
        <w:t xml:space="preserve">What can be safely AI-assisted or automated?</w:t>
      </w:r>
    </w:p>
    <w:p>
      <w:pPr>
        <w:pStyle w:val="ListParagraph"/>
        <w:numPr>
          <w:ilvl w:val="0"/>
          <w:numId w:val="2"/>
        </w:numPr>
        <w:spacing w:after="80" w:line="280"/>
      </w:pPr>
      <w:r>
        <w:rPr>
          <w:sz w:val="22"/>
          <w:szCs w:val="22"/>
        </w:rPr>
        <w:t xml:space="preserve">What data is needed, and is it permitted to use?</w:t>
      </w:r>
    </w:p>
    <w:p>
      <w:pPr>
        <w:pStyle w:val="ListParagraph"/>
        <w:numPr>
          <w:ilvl w:val="0"/>
          <w:numId w:val="2"/>
        </w:numPr>
        <w:spacing w:after="80" w:line="280"/>
      </w:pPr>
      <w:r>
        <w:rPr>
          <w:sz w:val="22"/>
          <w:szCs w:val="22"/>
        </w:rPr>
        <w:t xml:space="preserve">What evidence is reliable enough to act on?</w:t>
      </w:r>
    </w:p>
    <w:p>
      <w:pPr>
        <w:pStyle w:val="ListParagraph"/>
        <w:numPr>
          <w:ilvl w:val="0"/>
          <w:numId w:val="2"/>
        </w:numPr>
        <w:spacing w:after="80" w:line="280"/>
      </w:pPr>
      <w:r>
        <w:rPr>
          <w:sz w:val="22"/>
          <w:szCs w:val="22"/>
        </w:rPr>
        <w:t xml:space="preserve">What ethical, privacy, security, or compliance lines must not be crossed?</w:t>
      </w:r>
    </w:p>
    <w:p>
      <w:pPr>
        <w:pStyle w:val="ListParagraph"/>
        <w:numPr>
          <w:ilvl w:val="0"/>
          <w:numId w:val="2"/>
        </w:numPr>
        <w:spacing w:after="80" w:line="280"/>
      </w:pPr>
      <w:r>
        <w:rPr>
          <w:sz w:val="22"/>
          <w:szCs w:val="22"/>
        </w:rPr>
        <w:t xml:space="preserve">How will real people in my organization adopt this?</w:t>
      </w:r>
    </w:p>
    <w:p>
      <w:pPr>
        <w:pStyle w:val="ListParagraph"/>
        <w:numPr>
          <w:ilvl w:val="0"/>
          <w:numId w:val="2"/>
        </w:numPr>
        <w:spacing w:after="80" w:line="280"/>
      </w:pPr>
      <w:r>
        <w:rPr>
          <w:sz w:val="22"/>
          <w:szCs w:val="22"/>
        </w:rPr>
        <w:t xml:space="preserve">How will I prove the value of what I built?</w:t>
      </w:r>
    </w:p>
    <w:p>
      <w:pPr>
        <w:pStyle w:val="ListParagraph"/>
        <w:numPr>
          <w:ilvl w:val="0"/>
          <w:numId w:val="2"/>
        </w:numPr>
        <w:spacing w:after="80" w:line="280"/>
      </w:pPr>
      <w:r>
        <w:rPr>
          <w:sz w:val="22"/>
          <w:szCs w:val="22"/>
        </w:rPr>
        <w:t xml:space="preserve">How do I keep this responsible as AI itself changes?</w:t>
      </w:r>
    </w:p>
    <w:p>
      <w:pPr>
        <w:pStyle w:val="ListParagraph"/>
        <w:numPr>
          <w:ilvl w:val="0"/>
          <w:numId w:val="2"/>
        </w:numPr>
        <w:spacing w:after="80" w:line="280"/>
      </w:pPr>
      <w:r>
        <w:rPr>
          <w:sz w:val="22"/>
          <w:szCs w:val="22"/>
        </w:rPr>
        <w:t xml:space="preserve">How do I see the future clearly enough to position myself before everyone else does?</w:t>
      </w:r>
    </w:p>
    <w:p>
      <w:pPr>
        <w:spacing w:after="200"/>
      </w:pPr>
    </w:p>
    <w:p>
      <w:pPr>
        <w:spacing w:after="120" w:line="300"/>
        <w:jc w:val="left"/>
      </w:pPr>
      <w:r>
        <w:rPr>
          <w:sz w:val="22"/>
          <w:szCs w:val="22"/>
        </w:rPr>
        <w:t xml:space="preserve">TenXPros exists to answer these questions — not in theory, but inside a real problem that the participant brings from their own working life.</w:t>
      </w:r>
    </w:p>
    <w:p>
      <w:pPr>
        <w:pStyle w:val="Heading2"/>
        <w:spacing w:after="160" w:before="280"/>
      </w:pPr>
      <w:r>
        <w:rPr>
          <w:b/>
          <w:bCs/>
          <w:color w:val="2E75B6"/>
          <w:sz w:val="28"/>
          <w:szCs w:val="28"/>
        </w:rPr>
        <w:t xml:space="preserve">The Foundational Framing</w:t>
      </w:r>
    </w:p>
    <w:p>
      <w:pPr>
        <w:spacing w:after="120" w:line="300"/>
        <w:jc w:val="left"/>
      </w:pPr>
      <w:r>
        <w:rPr>
          <w:sz w:val="22"/>
          <w:szCs w:val="22"/>
        </w:rPr>
        <w:t xml:space="preserve">Most AI programs position the instructor as the expert who teaches the student. TenXPros rejects this framing because it does not match reality. A doctor knows medicine. A consultant knows their clients. A lawyer knows the law. An educator knows their learners. No AI instructor can replace that domain knowledge.</w:t>
      </w:r>
    </w:p>
    <w:p>
      <w:pPr>
        <w:spacing w:after="200"/>
      </w:pPr>
    </w:p>
    <w:p>
      <w:pPr>
        <w:spacing w:after="120" w:line="300"/>
        <w:jc w:val="left"/>
      </w:pPr>
      <w:r>
        <w:rPr>
          <w:sz w:val="22"/>
          <w:szCs w:val="22"/>
        </w:rPr>
        <w:t xml:space="preserve">TenXPros adopts a different framing — a partnership of two expertises supported by a coach: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FFF4E5" w:val="clear"/>
            <w:tcMar>
              <w:top w:type="dxa" w:w="200"/>
              <w:left w:type="dxa" w:w="280"/>
              <w:bottom w:type="dxa" w:w="200"/>
              <w:right w:type="dxa" w:w="280"/>
            </w:tcMar>
          </w:tcPr>
          <w:p>
            <w:pPr>
              <w:spacing w:after="100"/>
            </w:pPr>
            <w:r>
              <w:rPr>
                <w:b/>
                <w:bCs/>
                <w:color w:val="1F4E79"/>
                <w:sz w:val="24"/>
                <w:szCs w:val="24"/>
              </w:rPr>
              <w:t xml:space="preserve">The TenXPros Partnership Framing</w:t>
            </w:r>
          </w:p>
          <w:p>
            <w:pPr>
              <w:spacing w:after="0"/>
            </w:pPr>
            <w:r>
              <w:rPr>
                <w:color w:val="262626"/>
                <w:sz w:val="22"/>
                <w:szCs w:val="22"/>
              </w:rPr>
              <w:t xml:space="preserve">You are the domain expert. We are the AI experts. Your assigned AI coach is your partner for 12 weeks. You bring the depth of your professional field — its problems, its constraints, its stakeholders, its values. We bring AI methodology, responsible adoption structure, foresight discipline, and a guided problem-solving process. Together, we turn one of your real professional problems into a defensible, evidence-based AI Solution Dossier — and you become a Certified TenXPro: a domain expert who can responsibly apply AI to real problems in your field, and continue to do so as AI itself evolves.</w:t>
            </w:r>
          </w:p>
        </w:tc>
      </w:tr>
    </w:tbl>
    <w:p>
      <w:pPr>
        <w:pStyle w:val="Heading2"/>
        <w:spacing w:after="160" w:before="280"/>
      </w:pPr>
      <w:r>
        <w:rPr>
          <w:b/>
          <w:bCs/>
          <w:color w:val="2E75B6"/>
          <w:sz w:val="28"/>
          <w:szCs w:val="28"/>
        </w:rPr>
        <w:t xml:space="preserve">Why This Framing Changes Everything</w:t>
      </w:r>
    </w:p>
    <w:p>
      <w:pPr>
        <w:spacing w:after="120" w:line="300"/>
        <w:jc w:val="left"/>
      </w:pPr>
      <w:r>
        <w:rPr>
          <w:sz w:val="22"/>
          <w:szCs w:val="22"/>
        </w:rPr>
        <w:t xml:space="preserve">This partnership framing solves five hard problems at once:</w:t>
      </w:r>
    </w:p>
    <w:p>
      <w:pPr>
        <w:pStyle w:val="ListParagraph"/>
        <w:numPr>
          <w:ilvl w:val="0"/>
          <w:numId w:val="3"/>
        </w:numPr>
        <w:spacing w:after="80" w:line="280"/>
      </w:pPr>
      <w:r>
        <w:rPr>
          <w:sz w:val="22"/>
          <w:szCs w:val="22"/>
        </w:rPr>
        <w:t xml:space="preserve">It removes the impossible demand that any single instructor be expert in every domain. A doctor remains the medical authority. A lawyer remains the legal authority. TenXPros is the AI authority.</w:t>
      </w:r>
    </w:p>
    <w:p>
      <w:pPr>
        <w:pStyle w:val="ListParagraph"/>
        <w:numPr>
          <w:ilvl w:val="0"/>
          <w:numId w:val="3"/>
        </w:numPr>
        <w:spacing w:after="80" w:line="280"/>
      </w:pPr>
      <w:r>
        <w:rPr>
          <w:sz w:val="22"/>
          <w:szCs w:val="22"/>
        </w:rPr>
        <w:t xml:space="preserve">It respects the participant. They are not a student to be lectured. They are a professional whose expertise is essential to the work.</w:t>
      </w:r>
    </w:p>
    <w:p>
      <w:pPr>
        <w:pStyle w:val="ListParagraph"/>
        <w:numPr>
          <w:ilvl w:val="0"/>
          <w:numId w:val="3"/>
        </w:numPr>
        <w:spacing w:after="80" w:line="280"/>
      </w:pPr>
      <w:r>
        <w:rPr>
          <w:sz w:val="22"/>
          <w:szCs w:val="22"/>
        </w:rPr>
        <w:t xml:space="preserve">It justifies premium pricing. A 12-week guided partnership with personal coaching is not a course; it is a structured collaboration with a defined output.</w:t>
      </w:r>
    </w:p>
    <w:p>
      <w:pPr>
        <w:pStyle w:val="ListParagraph"/>
        <w:numPr>
          <w:ilvl w:val="0"/>
          <w:numId w:val="3"/>
        </w:numPr>
        <w:spacing w:after="80" w:line="280"/>
      </w:pPr>
      <w:r>
        <w:rPr>
          <w:sz w:val="22"/>
          <w:szCs w:val="22"/>
        </w:rPr>
        <w:t xml:space="preserve">It produces honest, ethical outcomes. Domain judgment stays with the domain expert, where it belongs.</w:t>
      </w:r>
    </w:p>
    <w:p>
      <w:pPr>
        <w:pStyle w:val="ListParagraph"/>
        <w:numPr>
          <w:ilvl w:val="0"/>
          <w:numId w:val="3"/>
        </w:numPr>
        <w:spacing w:after="80" w:line="280"/>
      </w:pPr>
      <w:r>
        <w:rPr>
          <w:sz w:val="22"/>
          <w:szCs w:val="22"/>
        </w:rPr>
        <w:t xml:space="preserve">It is repeatable across fields. The same partnership structure works for a consultant, a healthcare professional, a researcher, a founder, or a manager.</w:t>
      </w:r>
    </w:p>
    <w:p>
      <w:r>
        <w:br w:type="page"/>
      </w:r>
    </w:p>
    <w:p>
      <w:pPr>
        <w:pStyle w:val="Heading1"/>
        <w:spacing w:after="200" w:before="360"/>
      </w:pPr>
      <w:r>
        <w:rPr>
          <w:b/>
          <w:bCs/>
          <w:color w:val="1F4E79"/>
          <w:sz w:val="36"/>
          <w:szCs w:val="36"/>
        </w:rPr>
        <w:t xml:space="preserve">3. Positioning and Brand Narrative</w:t>
      </w:r>
    </w:p>
    <w:p>
      <w:pPr>
        <w:pStyle w:val="Heading2"/>
        <w:spacing w:after="160" w:before="280"/>
      </w:pPr>
      <w:r>
        <w:rPr>
          <w:b/>
          <w:bCs/>
          <w:color w:val="2E75B6"/>
          <w:sz w:val="28"/>
          <w:szCs w:val="28"/>
        </w:rPr>
        <w:t xml:space="preserve">Primary Brand</w:t>
      </w:r>
    </w:p>
    <w:p>
      <w:pPr>
        <w:spacing w:after="120" w:line="300"/>
        <w:jc w:val="left"/>
      </w:pPr>
      <w:r>
        <w:rPr>
          <w:sz w:val="22"/>
          <w:szCs w:val="22"/>
        </w:rPr>
        <w:t xml:space="preserve">TenXPros — and its short form, TXP — refers to the program, the credential, and the community of certified professionals. The naming reflects the program's outcome: a transformation that makes a domain professional ten times more capable when AI enters their work.</w:t>
      </w:r>
    </w:p>
    <w:p>
      <w:pPr>
        <w:pStyle w:val="Heading2"/>
        <w:spacing w:after="160" w:before="280"/>
      </w:pPr>
      <w:r>
        <w:rPr>
          <w:b/>
          <w:bCs/>
          <w:color w:val="2E75B6"/>
          <w:sz w:val="28"/>
          <w:szCs w:val="28"/>
        </w:rPr>
        <w:t xml:space="preserve">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EAF1F8" w:val="clear"/>
            <w:tcMar>
              <w:top w:type="dxa" w:w="200"/>
              <w:left w:type="dxa" w:w="280"/>
              <w:bottom w:type="dxa" w:w="200"/>
              <w:right w:type="dxa" w:w="280"/>
            </w:tcMar>
          </w:tcPr>
          <w:p>
            <w:pPr>
              <w:spacing w:after="100"/>
            </w:pPr>
            <w:r>
              <w:rPr>
                <w:b/>
                <w:bCs/>
                <w:color w:val="1F4E79"/>
                <w:sz w:val="24"/>
                <w:szCs w:val="24"/>
              </w:rPr>
              <w:t xml:space="preserve">Public-facing headline</w:t>
            </w:r>
          </w:p>
          <w:p>
            <w:pPr>
              <w:spacing w:after="0"/>
            </w:pPr>
            <w:r>
              <w:rPr>
                <w:color w:val="262626"/>
                <w:sz w:val="22"/>
                <w:szCs w:val="22"/>
              </w:rPr>
              <w:t xml:space="preserve">You bring the domain. We bring the AI method.</w:t>
            </w:r>
          </w:p>
        </w:tc>
      </w:tr>
    </w:tbl>
    <w:p>
      <w:pPr>
        <w:pStyle w:val="Heading2"/>
        <w:spacing w:after="160" w:before="280"/>
      </w:pPr>
      <w:r>
        <w:rPr>
          <w:b/>
          <w:bCs/>
          <w:color w:val="2E75B6"/>
          <w:sz w:val="28"/>
          <w:szCs w:val="28"/>
        </w:rPr>
        <w:t xml:space="preserve">Subheadline</w:t>
      </w:r>
    </w:p>
    <w:p>
      <w:pPr>
        <w:spacing w:after="120" w:line="300"/>
        <w:jc w:val="left"/>
      </w:pPr>
      <w:r>
        <w:rPr>
          <w:sz w:val="22"/>
          <w:szCs w:val="22"/>
        </w:rPr>
        <w:t xml:space="preserve">In 12 weeks, TenXPros helps you turn a real problem from your work into a responsible AI Solution Dossier with a foresight plan — and become a Certified TenXPro if your work meets the standard.</w:t>
      </w:r>
    </w:p>
    <w:p>
      <w:pPr>
        <w:pStyle w:val="Heading2"/>
        <w:spacing w:after="160" w:before="280"/>
      </w:pPr>
      <w:r>
        <w:rPr>
          <w:b/>
          <w:bCs/>
          <w:color w:val="2E75B6"/>
          <w:sz w:val="28"/>
          <w:szCs w:val="28"/>
        </w:rPr>
        <w:t xml:space="preserve">Tagline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FFF4E5" w:val="clear"/>
            <w:tcMar>
              <w:top w:type="dxa" w:w="200"/>
              <w:left w:type="dxa" w:w="280"/>
              <w:bottom w:type="dxa" w:w="200"/>
              <w:right w:type="dxa" w:w="280"/>
            </w:tcMar>
          </w:tcPr>
          <w:p>
            <w:pPr>
              <w:spacing w:after="100"/>
            </w:pPr>
            <w:r>
              <w:rPr>
                <w:b/>
                <w:bCs/>
                <w:color w:val="1F4E79"/>
                <w:sz w:val="24"/>
                <w:szCs w:val="24"/>
              </w:rPr>
              <w:t xml:space="preserve">Program tagline</w:t>
            </w:r>
          </w:p>
          <w:p>
            <w:pPr>
              <w:spacing w:after="0"/>
            </w:pPr>
            <w:r>
              <w:rPr>
                <w:color w:val="262626"/>
                <w:sz w:val="22"/>
                <w:szCs w:val="22"/>
              </w:rPr>
              <w:t xml:space="preserve">Frame. Design. Prove. Foresee.</w:t>
            </w:r>
          </w:p>
        </w:tc>
      </w:tr>
    </w:tbl>
    <w:p>
      <w:pPr>
        <w:pStyle w:val="Heading2"/>
        <w:spacing w:after="160" w:before="280"/>
      </w:pPr>
      <w:r>
        <w:rPr>
          <w:b/>
          <w:bCs/>
          <w:color w:val="2E75B6"/>
          <w:sz w:val="28"/>
          <w:szCs w:val="28"/>
        </w:rPr>
        <w:t xml:space="preserve">Core Promise</w:t>
      </w:r>
    </w:p>
    <w:p>
      <w:pPr>
        <w:spacing w:after="120" w:line="300"/>
        <w:jc w:val="left"/>
      </w:pPr>
      <w:r>
        <w:rPr>
          <w:sz w:val="22"/>
          <w:szCs w:val="22"/>
        </w:rPr>
        <w:t xml:space="preserve">Bring a real professional problem. Follow a guided adaptive path. Build a Living AI Solution Dossier with a Foresight Plan. Become a Certified TenXPro.</w:t>
      </w:r>
    </w:p>
    <w:p>
      <w:pPr>
        <w:pStyle w:val="Heading2"/>
        <w:spacing w:after="160" w:before="280"/>
      </w:pPr>
      <w:r>
        <w:rPr>
          <w:b/>
          <w:bCs/>
          <w:color w:val="2E75B6"/>
          <w:sz w:val="28"/>
          <w:szCs w:val="28"/>
        </w:rPr>
        <w:t xml:space="preserve">Differentiation Statement</w:t>
      </w:r>
    </w:p>
    <w:p>
      <w:pPr>
        <w:spacing w:after="120" w:line="300"/>
        <w:jc w:val="left"/>
      </w:pPr>
      <w:r>
        <w:rPr>
          <w:sz w:val="22"/>
          <w:szCs w:val="22"/>
        </w:rPr>
        <w:t xml:space="preserve">This is not a generic AI course. It is not a prompt engineering workshop. It is not a tool tutorial. It is a guided certification partnership for serious professionals who want to apply AI responsibly to real work in their own field, and remain relevant as AI evolves.</w:t>
      </w:r>
    </w:p>
    <w:p>
      <w:pPr>
        <w:spacing w:after="200"/>
      </w:pPr>
    </w:p>
    <w:p>
      <w:pPr>
        <w:spacing w:after="120" w:line="300"/>
        <w:jc w:val="left"/>
      </w:pPr>
      <w:r>
        <w:rPr>
          <w:sz w:val="22"/>
          <w:szCs w:val="22"/>
        </w:rPr>
        <w:t xml:space="preserve">You do not pass by watching lessons. You pass by producing reviewed, decision-grade work.</w:t>
      </w:r>
    </w:p>
    <w:p>
      <w:pPr>
        <w:pStyle w:val="Heading2"/>
        <w:spacing w:after="160" w:before="280"/>
      </w:pPr>
      <w:r>
        <w:rPr>
          <w:b/>
          <w:bCs/>
          <w:color w:val="2E75B6"/>
          <w:sz w:val="28"/>
          <w:szCs w:val="28"/>
        </w:rPr>
        <w:t xml:space="preserve">The Narrative Arc</w:t>
      </w:r>
    </w:p>
    <w:p>
      <w:pPr>
        <w:spacing w:after="120" w:line="300"/>
        <w:jc w:val="left"/>
      </w:pPr>
      <w:r>
        <w:rPr>
          <w:sz w:val="22"/>
          <w:szCs w:val="22"/>
        </w:rPr>
        <w:t xml:space="preserve">Every brand needs a story. The TenXPros story is honest and specific:</w:t>
      </w:r>
    </w:p>
    <w:p>
      <w:pPr>
        <w:spacing w:after="200"/>
      </w:pPr>
    </w:p>
    <w:p>
      <w:pPr>
        <w:spacing w:after="120" w:line="300"/>
        <w:jc w:val="left"/>
      </w:pPr>
      <w:r>
        <w:rPr>
          <w:sz w:val="22"/>
          <w:szCs w:val="22"/>
        </w:rPr>
        <w:t xml:space="preserve">Most AI certifications teach you what AI is. TenXPros teaches you what to do with AI inside the work you actually do.</w:t>
      </w:r>
    </w:p>
    <w:p>
      <w:pPr>
        <w:spacing w:after="200"/>
      </w:pPr>
    </w:p>
    <w:p>
      <w:pPr>
        <w:spacing w:after="120" w:line="300"/>
        <w:jc w:val="left"/>
      </w:pPr>
      <w:r>
        <w:rPr>
          <w:sz w:val="22"/>
          <w:szCs w:val="22"/>
        </w:rPr>
        <w:t xml:space="preserve">Most AI programs assume you will become an AI engineer. TenXPros assumes you will remain a domain professional — and helps you become an AI-ready one.</w:t>
      </w:r>
    </w:p>
    <w:p>
      <w:pPr>
        <w:spacing w:after="200"/>
      </w:pPr>
    </w:p>
    <w:p>
      <w:pPr>
        <w:spacing w:after="120" w:line="300"/>
        <w:jc w:val="left"/>
      </w:pPr>
      <w:r>
        <w:rPr>
          <w:sz w:val="22"/>
          <w:szCs w:val="22"/>
        </w:rPr>
        <w:t xml:space="preserve">Most AI training ends with a certificate of attendance. TenXPros ends with a defensible portfolio: a real problem, framed responsibly; a real solution, designed responsibly; a real plan, with measurable value, honest risk, and a foresight strategy that keeps you relevant as AI changes.</w:t>
      </w:r>
    </w:p>
    <w:p>
      <w:r>
        <w:br w:type="page"/>
      </w:r>
    </w:p>
    <w:p>
      <w:pPr>
        <w:pStyle w:val="Heading1"/>
        <w:spacing w:after="200" w:before="360"/>
      </w:pPr>
      <w:r>
        <w:rPr>
          <w:b/>
          <w:bCs/>
          <w:color w:val="1F4E79"/>
          <w:sz w:val="36"/>
          <w:szCs w:val="36"/>
        </w:rPr>
        <w:t xml:space="preserve">4. The Three Questions TenXPros Answers</w:t>
      </w:r>
    </w:p>
    <w:p>
      <w:pPr>
        <w:spacing w:after="120" w:line="300"/>
        <w:jc w:val="left"/>
      </w:pPr>
      <w:r>
        <w:rPr>
          <w:sz w:val="22"/>
          <w:szCs w:val="22"/>
        </w:rPr>
        <w:t xml:space="preserve">Every TenXPros participant arrives with three implicit questions about AI in their work. The entire program is structured to answer them — in the right order, with the right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EAF1F8" w:val="clear"/>
            <w:tcMar>
              <w:top w:type="dxa" w:w="200"/>
              <w:left w:type="dxa" w:w="280"/>
              <w:bottom w:type="dxa" w:w="200"/>
              <w:right w:type="dxa" w:w="280"/>
            </w:tcMar>
          </w:tcPr>
          <w:p>
            <w:pPr>
              <w:spacing w:after="100"/>
            </w:pPr>
            <w:r>
              <w:rPr>
                <w:b/>
                <w:bCs/>
                <w:color w:val="1F4E79"/>
                <w:sz w:val="24"/>
                <w:szCs w:val="24"/>
              </w:rPr>
              <w:t xml:space="preserve">The three TenXPros questions</w:t>
            </w:r>
          </w:p>
          <w:p>
            <w:pPr>
              <w:spacing w:after="0"/>
            </w:pPr>
            <w:r>
              <w:rPr>
                <w:color w:val="262626"/>
                <w:sz w:val="22"/>
                <w:szCs w:val="22"/>
              </w:rPr>
              <w:t xml:space="preserve">Where do I start? — How do I do it? — How do I evaluate and improve it?</w:t>
            </w:r>
          </w:p>
        </w:tc>
      </w:tr>
    </w:tbl>
    <w:p>
      <w:pPr>
        <w:pStyle w:val="Heading2"/>
        <w:spacing w:after="160" w:before="280"/>
      </w:pPr>
      <w:r>
        <w:rPr>
          <w:b/>
          <w:bCs/>
          <w:color w:val="2E75B6"/>
          <w:sz w:val="28"/>
          <w:szCs w:val="28"/>
        </w:rPr>
        <w:t xml:space="preserve">Question 1 — Where do I start?</w:t>
      </w:r>
    </w:p>
    <w:p>
      <w:pPr>
        <w:spacing w:after="120" w:line="300"/>
        <w:jc w:val="left"/>
      </w:pPr>
      <w:r>
        <w:rPr>
          <w:sz w:val="22"/>
          <w:szCs w:val="22"/>
        </w:rPr>
        <w:t xml:space="preserve">This is the framing question. Most professionals try to start with AI tools and get lost. TenXPros starts with the real problem, the real context, and the responsible question of whether AI even belongs.</w:t>
      </w:r>
    </w:p>
    <w:p>
      <w:pPr>
        <w:spacing w:after="200"/>
      </w:pPr>
    </w:p>
    <w:p>
      <w:pPr>
        <w:spacing w:after="120" w:line="300"/>
        <w:jc w:val="left"/>
      </w:pPr>
      <w:r>
        <w:rPr>
          <w:sz w:val="22"/>
          <w:szCs w:val="22"/>
        </w:rPr>
        <w:t xml:space="preserve">Answered in Phase 1 (Frame): Modules 1-4.</w:t>
      </w:r>
    </w:p>
    <w:p>
      <w:pPr>
        <w:pStyle w:val="Heading2"/>
        <w:spacing w:after="160" w:before="280"/>
      </w:pPr>
      <w:r>
        <w:rPr>
          <w:b/>
          <w:bCs/>
          <w:color w:val="2E75B6"/>
          <w:sz w:val="28"/>
          <w:szCs w:val="28"/>
        </w:rPr>
        <w:t xml:space="preserve">Question 2 — How do I do it?</w:t>
      </w:r>
    </w:p>
    <w:p>
      <w:pPr>
        <w:spacing w:after="120" w:line="300"/>
        <w:jc w:val="left"/>
      </w:pPr>
      <w:r>
        <w:rPr>
          <w:sz w:val="22"/>
          <w:szCs w:val="22"/>
        </w:rPr>
        <w:t xml:space="preserve">This is the building question. Once the problem is framed, the participant needs structure, evidence, workflow analysis, and responsible solution design.</w:t>
      </w:r>
    </w:p>
    <w:p>
      <w:pPr>
        <w:spacing w:after="200"/>
      </w:pPr>
    </w:p>
    <w:p>
      <w:pPr>
        <w:spacing w:after="120" w:line="300"/>
        <w:jc w:val="left"/>
      </w:pPr>
      <w:r>
        <w:rPr>
          <w:sz w:val="22"/>
          <w:szCs w:val="22"/>
        </w:rPr>
        <w:t xml:space="preserve">Answered in Phase 2 (Design): Modules 5-8.</w:t>
      </w:r>
    </w:p>
    <w:p>
      <w:pPr>
        <w:pStyle w:val="Heading2"/>
        <w:spacing w:after="160" w:before="280"/>
      </w:pPr>
      <w:r>
        <w:rPr>
          <w:b/>
          <w:bCs/>
          <w:color w:val="2E75B6"/>
          <w:sz w:val="28"/>
          <w:szCs w:val="28"/>
        </w:rPr>
        <w:t xml:space="preserve">Question 3 — How do I evaluate and improve it?</w:t>
      </w:r>
    </w:p>
    <w:p>
      <w:pPr>
        <w:spacing w:after="120" w:line="300"/>
        <w:jc w:val="left"/>
      </w:pPr>
      <w:r>
        <w:rPr>
          <w:sz w:val="22"/>
          <w:szCs w:val="22"/>
        </w:rPr>
        <w:t xml:space="preserve">This is the proving and future-proofing question. A solution that cannot be evaluated cannot be improved. A solution that cannot be future-proofed cannot survive.</w:t>
      </w:r>
    </w:p>
    <w:p>
      <w:pPr>
        <w:spacing w:after="200"/>
      </w:pPr>
    </w:p>
    <w:p>
      <w:pPr>
        <w:spacing w:after="120" w:line="300"/>
        <w:jc w:val="left"/>
      </w:pPr>
      <w:r>
        <w:rPr>
          <w:sz w:val="22"/>
          <w:szCs w:val="22"/>
        </w:rPr>
        <w:t xml:space="preserve">Answered in Phase 3 (Prove) and Phase 4 (Foresee): Modules 9-11.</w:t>
      </w:r>
    </w:p>
    <w:p>
      <w:pPr>
        <w:spacing w:after="200"/>
      </w:pPr>
    </w:p>
    <w:p>
      <w:pPr>
        <w:spacing w:after="120" w:line="300"/>
        <w:jc w:val="left"/>
      </w:pPr>
      <w:r>
        <w:rPr>
          <w:sz w:val="22"/>
          <w:szCs w:val="22"/>
        </w:rPr>
        <w:t xml:space="preserve">These three questions also serve as the public-facing explanation of TenXPros. They are simple, universal, and immediately understandable by any serious professional in any field.</w:t>
      </w:r>
    </w:p>
    <w:p>
      <w:r>
        <w:br w:type="page"/>
      </w:r>
    </w:p>
    <w:p>
      <w:pPr>
        <w:pStyle w:val="Heading1"/>
        <w:spacing w:after="200" w:before="360"/>
      </w:pPr>
      <w:r>
        <w:rPr>
          <w:b/>
          <w:bCs/>
          <w:color w:val="1F4E79"/>
          <w:sz w:val="36"/>
          <w:szCs w:val="36"/>
        </w:rPr>
        <w:t xml:space="preserve">5. Who TenXPros Is For (and Who It Is Not For)</w:t>
      </w:r>
    </w:p>
    <w:p>
      <w:pPr>
        <w:pStyle w:val="Heading2"/>
        <w:spacing w:after="160" w:before="280"/>
      </w:pPr>
      <w:r>
        <w:rPr>
          <w:b/>
          <w:bCs/>
          <w:color w:val="2E75B6"/>
          <w:sz w:val="28"/>
          <w:szCs w:val="28"/>
        </w:rPr>
        <w:t xml:space="preserve">Who This Program Is For</w:t>
      </w:r>
    </w:p>
    <w:p>
      <w:pPr>
        <w:spacing w:after="120" w:line="300"/>
        <w:jc w:val="left"/>
      </w:pPr>
      <w:r>
        <w:rPr>
          <w:sz w:val="22"/>
          <w:szCs w:val="22"/>
        </w:rPr>
        <w:t xml:space="preserve">TenXPros is designed for serious professionals who already have domain expertise and who want to apply AI responsibly to real problems in their field. The program is especially well-suited to:</w:t>
      </w:r>
    </w:p>
    <w:p>
      <w:pPr>
        <w:pStyle w:val="ListParagraph"/>
        <w:numPr>
          <w:ilvl w:val="0"/>
          <w:numId w:val="2"/>
        </w:numPr>
        <w:spacing w:after="80" w:line="280"/>
      </w:pPr>
      <w:r>
        <w:rPr>
          <w:sz w:val="22"/>
          <w:szCs w:val="22"/>
        </w:rPr>
        <w:t xml:space="preserve">Independent consultants, advisors, and strategists who frame client problems and want to add AI-enabled solution design to their practice.</w:t>
      </w:r>
    </w:p>
    <w:p>
      <w:pPr>
        <w:pStyle w:val="ListParagraph"/>
        <w:numPr>
          <w:ilvl w:val="0"/>
          <w:numId w:val="2"/>
        </w:numPr>
        <w:spacing w:after="80" w:line="280"/>
      </w:pPr>
      <w:r>
        <w:rPr>
          <w:sz w:val="22"/>
          <w:szCs w:val="22"/>
        </w:rPr>
        <w:t xml:space="preserve">Trainers, educators, and instructional designers who want to integrate AI thoughtfully into curriculum and learner support.</w:t>
      </w:r>
    </w:p>
    <w:p>
      <w:pPr>
        <w:pStyle w:val="ListParagraph"/>
        <w:numPr>
          <w:ilvl w:val="0"/>
          <w:numId w:val="2"/>
        </w:numPr>
        <w:spacing w:after="80" w:line="280"/>
      </w:pPr>
      <w:r>
        <w:rPr>
          <w:sz w:val="22"/>
          <w:szCs w:val="22"/>
        </w:rPr>
        <w:t xml:space="preserve">Managers, operators, and team leads who are responsible for evaluating where AI fits inside team workflows.</w:t>
      </w:r>
    </w:p>
    <w:p>
      <w:pPr>
        <w:pStyle w:val="ListParagraph"/>
        <w:numPr>
          <w:ilvl w:val="0"/>
          <w:numId w:val="2"/>
        </w:numPr>
        <w:spacing w:after="80" w:line="280"/>
      </w:pPr>
      <w:r>
        <w:rPr>
          <w:sz w:val="22"/>
          <w:szCs w:val="22"/>
        </w:rPr>
        <w:t xml:space="preserve">Founders, business owners, and product builders who want to apply AI to operations, growth, customer experience, or product design.</w:t>
      </w:r>
    </w:p>
    <w:p>
      <w:pPr>
        <w:pStyle w:val="ListParagraph"/>
        <w:numPr>
          <w:ilvl w:val="0"/>
          <w:numId w:val="2"/>
        </w:numPr>
        <w:spacing w:after="80" w:line="280"/>
      </w:pPr>
      <w:r>
        <w:rPr>
          <w:sz w:val="22"/>
          <w:szCs w:val="22"/>
        </w:rPr>
        <w:t xml:space="preserve">Researchers, analysts, and knowledge workers who want to use AI rigorously without compromising evidence or citation discipline.</w:t>
      </w:r>
    </w:p>
    <w:p>
      <w:pPr>
        <w:pStyle w:val="ListParagraph"/>
        <w:numPr>
          <w:ilvl w:val="0"/>
          <w:numId w:val="2"/>
        </w:numPr>
        <w:spacing w:after="80" w:line="280"/>
      </w:pPr>
      <w:r>
        <w:rPr>
          <w:sz w:val="22"/>
          <w:szCs w:val="22"/>
        </w:rPr>
        <w:t xml:space="preserve">Healthcare, legal, finance, and compliance professionals who must apply AI inside high-accountability environments with strict risk boundaries.</w:t>
      </w:r>
    </w:p>
    <w:p>
      <w:pPr>
        <w:pStyle w:val="ListParagraph"/>
        <w:numPr>
          <w:ilvl w:val="0"/>
          <w:numId w:val="2"/>
        </w:numPr>
        <w:spacing w:after="80" w:line="280"/>
      </w:pPr>
      <w:r>
        <w:rPr>
          <w:sz w:val="22"/>
          <w:szCs w:val="22"/>
        </w:rPr>
        <w:t xml:space="preserve">HR, talent, and L&amp;D professionals who are designing AI-supported workflows for hiring, learning, or performance support.</w:t>
      </w:r>
    </w:p>
    <w:p>
      <w:pPr>
        <w:pStyle w:val="ListParagraph"/>
        <w:numPr>
          <w:ilvl w:val="0"/>
          <w:numId w:val="2"/>
        </w:numPr>
        <w:spacing w:after="80" w:line="280"/>
      </w:pPr>
      <w:r>
        <w:rPr>
          <w:sz w:val="22"/>
          <w:szCs w:val="22"/>
        </w:rPr>
        <w:t xml:space="preserve">Public sector and nonprofit professionals who need accountability, transparency, and ethical care in AI adoption.</w:t>
      </w:r>
    </w:p>
    <w:p>
      <w:pPr>
        <w:pStyle w:val="Heading2"/>
        <w:spacing w:after="160" w:before="280"/>
      </w:pPr>
      <w:r>
        <w:rPr>
          <w:b/>
          <w:bCs/>
          <w:color w:val="2E75B6"/>
          <w:sz w:val="28"/>
          <w:szCs w:val="28"/>
        </w:rPr>
        <w:t xml:space="preserve">Who This Program Is Not For</w:t>
      </w:r>
    </w:p>
    <w:p>
      <w:pPr>
        <w:spacing w:after="120" w:line="300"/>
        <w:jc w:val="left"/>
      </w:pPr>
      <w:r>
        <w:rPr>
          <w:sz w:val="22"/>
          <w:szCs w:val="22"/>
        </w:rPr>
        <w:t xml:space="preserve">TenXPros is deliberately not built for everyone. It is not for people seeking:</w:t>
      </w:r>
    </w:p>
    <w:p>
      <w:pPr>
        <w:pStyle w:val="ListParagraph"/>
        <w:numPr>
          <w:ilvl w:val="0"/>
          <w:numId w:val="2"/>
        </w:numPr>
        <w:spacing w:after="80" w:line="280"/>
      </w:pPr>
      <w:r>
        <w:rPr>
          <w:sz w:val="22"/>
          <w:szCs w:val="22"/>
        </w:rPr>
        <w:t xml:space="preserve">A generic AI literacy course or quick ChatGPT tutorial.</w:t>
      </w:r>
    </w:p>
    <w:p>
      <w:pPr>
        <w:pStyle w:val="ListParagraph"/>
        <w:numPr>
          <w:ilvl w:val="0"/>
          <w:numId w:val="2"/>
        </w:numPr>
        <w:spacing w:after="80" w:line="280"/>
      </w:pPr>
      <w:r>
        <w:rPr>
          <w:sz w:val="22"/>
          <w:szCs w:val="22"/>
        </w:rPr>
        <w:t xml:space="preserve">A prompt engineering workshop.</w:t>
      </w:r>
    </w:p>
    <w:p>
      <w:pPr>
        <w:pStyle w:val="ListParagraph"/>
        <w:numPr>
          <w:ilvl w:val="0"/>
          <w:numId w:val="2"/>
        </w:numPr>
        <w:spacing w:after="80" w:line="280"/>
      </w:pPr>
      <w:r>
        <w:rPr>
          <w:sz w:val="22"/>
          <w:szCs w:val="22"/>
        </w:rPr>
        <w:t xml:space="preserve">A machine learning bootcamp or programming course.</w:t>
      </w:r>
    </w:p>
    <w:p>
      <w:pPr>
        <w:pStyle w:val="ListParagraph"/>
        <w:numPr>
          <w:ilvl w:val="0"/>
          <w:numId w:val="2"/>
        </w:numPr>
        <w:spacing w:after="80" w:line="280"/>
      </w:pPr>
      <w:r>
        <w:rPr>
          <w:sz w:val="22"/>
          <w:szCs w:val="22"/>
        </w:rPr>
        <w:t xml:space="preserve">A passive video-only course where completion equals a certificate.</w:t>
      </w:r>
    </w:p>
    <w:p>
      <w:pPr>
        <w:pStyle w:val="ListParagraph"/>
        <w:numPr>
          <w:ilvl w:val="0"/>
          <w:numId w:val="2"/>
        </w:numPr>
        <w:spacing w:after="80" w:line="280"/>
      </w:pPr>
      <w:r>
        <w:rPr>
          <w:sz w:val="22"/>
          <w:szCs w:val="22"/>
        </w:rPr>
        <w:t xml:space="preserve">Unlimited consulting or done-for-you work.</w:t>
      </w:r>
    </w:p>
    <w:p>
      <w:pPr>
        <w:pStyle w:val="ListParagraph"/>
        <w:numPr>
          <w:ilvl w:val="0"/>
          <w:numId w:val="2"/>
        </w:numPr>
        <w:spacing w:after="80" w:line="280"/>
      </w:pPr>
      <w:r>
        <w:rPr>
          <w:sz w:val="22"/>
          <w:szCs w:val="22"/>
        </w:rPr>
        <w:t xml:space="preserve">Expert legal, medical, financial, or compliance advice.</w:t>
      </w:r>
    </w:p>
    <w:p>
      <w:pPr>
        <w:pStyle w:val="ListParagraph"/>
        <w:numPr>
          <w:ilvl w:val="0"/>
          <w:numId w:val="2"/>
        </w:numPr>
        <w:spacing w:after="80" w:line="280"/>
      </w:pPr>
      <w:r>
        <w:rPr>
          <w:sz w:val="22"/>
          <w:szCs w:val="22"/>
        </w:rPr>
        <w:t xml:space="preserve">A certificate of attendance with no required deliverable.</w:t>
      </w:r>
    </w:p>
    <w:p>
      <w:pPr>
        <w:pStyle w:val="Heading2"/>
        <w:spacing w:after="160" w:before="280"/>
      </w:pPr>
      <w:r>
        <w:rPr>
          <w:b/>
          <w:bCs/>
          <w:color w:val="2E75B6"/>
          <w:sz w:val="28"/>
          <w:szCs w:val="28"/>
        </w:rPr>
        <w:t xml:space="preserve">The Quality Filter</w:t>
      </w:r>
    </w:p>
    <w:p>
      <w:pPr>
        <w:spacing w:after="120" w:line="300"/>
        <w:jc w:val="left"/>
      </w:pPr>
      <w:r>
        <w:rPr>
          <w:sz w:val="22"/>
          <w:szCs w:val="22"/>
        </w:rPr>
        <w:t xml:space="preserve">Every applicant submits an application. Every application is reviewed. Not every applicant is admitted. This selectivity is not a marketing tactic — it is the foundation of the credential's integrity.</w:t>
      </w:r>
    </w:p>
    <w:p>
      <w:pPr>
        <w:spacing w:after="200"/>
      </w:pPr>
    </w:p>
    <w:p>
      <w:pPr>
        <w:spacing w:after="120" w:line="300"/>
        <w:jc w:val="left"/>
      </w:pPr>
      <w:r>
        <w:rPr>
          <w:sz w:val="22"/>
          <w:szCs w:val="22"/>
        </w:rPr>
        <w:t xml:space="preserve">A TenXPro certification means something specific: the holder has framed a real problem, designed a responsible AI solution, built a foresight plan, and produced a Dossier reviewed against a clear standard. That meaning cannot survive open enrollment.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FFF4E5" w:val="clear"/>
            <w:tcMar>
              <w:top w:type="dxa" w:w="200"/>
              <w:left w:type="dxa" w:w="280"/>
              <w:bottom w:type="dxa" w:w="200"/>
              <w:right w:type="dxa" w:w="280"/>
            </w:tcMar>
          </w:tcPr>
          <w:p>
            <w:pPr>
              <w:spacing w:after="100"/>
            </w:pPr>
            <w:r>
              <w:rPr>
                <w:b/>
                <w:bCs/>
                <w:color w:val="1F4E79"/>
                <w:sz w:val="24"/>
                <w:szCs w:val="24"/>
              </w:rPr>
              <w:t xml:space="preserve">The selectivity principle</w:t>
            </w:r>
          </w:p>
          <w:p>
            <w:pPr>
              <w:spacing w:after="0"/>
            </w:pPr>
            <w:r>
              <w:rPr>
                <w:color w:val="262626"/>
                <w:sz w:val="22"/>
                <w:szCs w:val="22"/>
              </w:rPr>
              <w:t xml:space="preserve">Admission is selective because certification must be credible. A credential that anyone can buy is worth nothing. A credential earned through structured, reviewed work has lasting value.</w:t>
            </w:r>
          </w:p>
        </w:tc>
      </w:tr>
    </w:tbl>
    <w:p>
      <w:r>
        <w:br w:type="page"/>
      </w:r>
    </w:p>
    <w:p>
      <w:pPr>
        <w:pStyle w:val="Heading1"/>
        <w:spacing w:after="200" w:before="360"/>
      </w:pPr>
      <w:r>
        <w:rPr>
          <w:b/>
          <w:bCs/>
          <w:color w:val="1F4E79"/>
          <w:sz w:val="36"/>
          <w:szCs w:val="36"/>
        </w:rPr>
        <w:t xml:space="preserve">6. The Final Credential: Certified TenXPro</w:t>
      </w:r>
    </w:p>
    <w:p>
      <w:pPr>
        <w:pStyle w:val="Heading2"/>
        <w:spacing w:after="160" w:before="280"/>
      </w:pPr>
      <w:r>
        <w:rPr>
          <w:b/>
          <w:bCs/>
          <w:color w:val="2E75B6"/>
          <w:sz w:val="28"/>
          <w:szCs w:val="28"/>
        </w:rPr>
        <w:t xml:space="preserve">The Credential</w:t>
      </w:r>
    </w:p>
    <w:p>
      <w:pPr>
        <w:spacing w:after="120" w:line="300"/>
        <w:jc w:val="left"/>
      </w:pPr>
      <w:r>
        <w:rPr>
          <w:sz w:val="22"/>
          <w:szCs w:val="22"/>
        </w:rPr>
        <w:t xml:space="preserve">Upon successful completion, the participant earns:</w:t>
      </w:r>
    </w:p>
    <w:p>
      <w:pPr>
        <w:spacing w:after="100" w:before="200"/>
        <w:jc w:val="center"/>
      </w:pPr>
      <w:r>
        <w:rPr>
          <w:b/>
          <w:bCs/>
          <w:color w:val="1F4E79"/>
          <w:sz w:val="40"/>
          <w:szCs w:val="40"/>
        </w:rPr>
        <w:t xml:space="preserve">Certified TenXPro</w:t>
      </w:r>
    </w:p>
    <w:p>
      <w:pPr>
        <w:spacing w:after="240"/>
        <w:jc w:val="center"/>
      </w:pPr>
      <w:r>
        <w:rPr>
          <w:i/>
          <w:iCs/>
          <w:color w:val="595959"/>
          <w:sz w:val="22"/>
          <w:szCs w:val="22"/>
        </w:rPr>
        <w:t xml:space="preserve">AI-Ready Problem Solver, Responsible AI Solution Designer, and Strategic Foresight Practitioner</w:t>
      </w:r>
    </w:p>
    <w:p>
      <w:pPr>
        <w:pStyle w:val="Heading2"/>
        <w:spacing w:after="160" w:before="280"/>
      </w:pPr>
      <w:r>
        <w:rPr>
          <w:b/>
          <w:bCs/>
          <w:color w:val="2E75B6"/>
          <w:sz w:val="28"/>
          <w:szCs w:val="28"/>
        </w:rPr>
        <w:t xml:space="preserve">What This Credential Signals</w:t>
      </w:r>
    </w:p>
    <w:p>
      <w:pPr>
        <w:spacing w:after="120" w:line="300"/>
        <w:jc w:val="left"/>
      </w:pPr>
      <w:r>
        <w:rPr>
          <w:sz w:val="22"/>
          <w:szCs w:val="22"/>
        </w:rPr>
        <w:t xml:space="preserve">A Certified TenXPro is not simply someone who promotes AI adoption. They are someone who can demonstrate, through reviewed work, that they can:</w:t>
      </w:r>
    </w:p>
    <w:p>
      <w:pPr>
        <w:pStyle w:val="ListParagraph"/>
        <w:numPr>
          <w:ilvl w:val="0"/>
          <w:numId w:val="2"/>
        </w:numPr>
        <w:spacing w:after="80" w:line="280"/>
      </w:pPr>
      <w:r>
        <w:rPr>
          <w:sz w:val="22"/>
          <w:szCs w:val="22"/>
        </w:rPr>
        <w:t xml:space="preserve">Identify the real problem behind a surface-level complaint or request.</w:t>
      </w:r>
    </w:p>
    <w:p>
      <w:pPr>
        <w:pStyle w:val="ListParagraph"/>
        <w:numPr>
          <w:ilvl w:val="0"/>
          <w:numId w:val="2"/>
        </w:numPr>
        <w:spacing w:after="80" w:line="280"/>
      </w:pPr>
      <w:r>
        <w:rPr>
          <w:sz w:val="22"/>
          <w:szCs w:val="22"/>
        </w:rPr>
        <w:t xml:space="preserve">Frame the problem clearly using structured thinking.</w:t>
      </w:r>
    </w:p>
    <w:p>
      <w:pPr>
        <w:pStyle w:val="ListParagraph"/>
        <w:numPr>
          <w:ilvl w:val="0"/>
          <w:numId w:val="2"/>
        </w:numPr>
        <w:spacing w:after="80" w:line="280"/>
      </w:pPr>
      <w:r>
        <w:rPr>
          <w:sz w:val="22"/>
          <w:szCs w:val="22"/>
        </w:rPr>
        <w:t xml:space="preserve">Evaluate honestly whether AI is the appropriate solution.</w:t>
      </w:r>
    </w:p>
    <w:p>
      <w:pPr>
        <w:pStyle w:val="ListParagraph"/>
        <w:numPr>
          <w:ilvl w:val="0"/>
          <w:numId w:val="2"/>
        </w:numPr>
        <w:spacing w:after="80" w:line="280"/>
      </w:pPr>
      <w:r>
        <w:rPr>
          <w:sz w:val="22"/>
          <w:szCs w:val="22"/>
        </w:rPr>
        <w:t xml:space="preserve">Understand the capabilities and limits of current AI systems, including hands-on tool fluency.</w:t>
      </w:r>
    </w:p>
    <w:p>
      <w:pPr>
        <w:pStyle w:val="ListParagraph"/>
        <w:numPr>
          <w:ilvl w:val="0"/>
          <w:numId w:val="2"/>
        </w:numPr>
        <w:spacing w:after="80" w:line="280"/>
      </w:pPr>
      <w:r>
        <w:rPr>
          <w:sz w:val="22"/>
          <w:szCs w:val="22"/>
        </w:rPr>
        <w:t xml:space="preserve">Apply prompt and context engineering as a practical discipline.</w:t>
      </w:r>
    </w:p>
    <w:p>
      <w:pPr>
        <w:pStyle w:val="ListParagraph"/>
        <w:numPr>
          <w:ilvl w:val="0"/>
          <w:numId w:val="2"/>
        </w:numPr>
        <w:spacing w:after="80" w:line="280"/>
      </w:pPr>
      <w:r>
        <w:rPr>
          <w:sz w:val="22"/>
          <w:szCs w:val="22"/>
        </w:rPr>
        <w:t xml:space="preserve">Use data and evidence responsibly.</w:t>
      </w:r>
    </w:p>
    <w:p>
      <w:pPr>
        <w:pStyle w:val="ListParagraph"/>
        <w:numPr>
          <w:ilvl w:val="0"/>
          <w:numId w:val="2"/>
        </w:numPr>
        <w:spacing w:after="80" w:line="280"/>
      </w:pPr>
      <w:r>
        <w:rPr>
          <w:sz w:val="22"/>
          <w:szCs w:val="22"/>
        </w:rPr>
        <w:t xml:space="preserve">Assess privacy, security, ethical, and compliance risk.</w:t>
      </w:r>
    </w:p>
    <w:p>
      <w:pPr>
        <w:pStyle w:val="ListParagraph"/>
        <w:numPr>
          <w:ilvl w:val="0"/>
          <w:numId w:val="2"/>
        </w:numPr>
        <w:spacing w:after="80" w:line="280"/>
      </w:pPr>
      <w:r>
        <w:rPr>
          <w:sz w:val="22"/>
          <w:szCs w:val="22"/>
        </w:rPr>
        <w:t xml:space="preserve">Design human-centered AI solutions with clear oversight.</w:t>
      </w:r>
    </w:p>
    <w:p>
      <w:pPr>
        <w:pStyle w:val="ListParagraph"/>
        <w:numPr>
          <w:ilvl w:val="0"/>
          <w:numId w:val="2"/>
        </w:numPr>
        <w:spacing w:after="80" w:line="280"/>
      </w:pPr>
      <w:r>
        <w:rPr>
          <w:sz w:val="22"/>
          <w:szCs w:val="22"/>
        </w:rPr>
        <w:t xml:space="preserve">Plan realistic adoption among real stakeholders.</w:t>
      </w:r>
    </w:p>
    <w:p>
      <w:pPr>
        <w:pStyle w:val="ListParagraph"/>
        <w:numPr>
          <w:ilvl w:val="0"/>
          <w:numId w:val="2"/>
        </w:numPr>
        <w:spacing w:after="80" w:line="280"/>
      </w:pPr>
      <w:r>
        <w:rPr>
          <w:sz w:val="22"/>
          <w:szCs w:val="22"/>
        </w:rPr>
        <w:t xml:space="preserve">Communicate with executives, peers, and end users.</w:t>
      </w:r>
    </w:p>
    <w:p>
      <w:pPr>
        <w:pStyle w:val="ListParagraph"/>
        <w:numPr>
          <w:ilvl w:val="0"/>
          <w:numId w:val="2"/>
        </w:numPr>
        <w:spacing w:after="80" w:line="280"/>
      </w:pPr>
      <w:r>
        <w:rPr>
          <w:sz w:val="22"/>
          <w:szCs w:val="22"/>
        </w:rPr>
        <w:t xml:space="preserve">Define measurable value and build proof.</w:t>
      </w:r>
    </w:p>
    <w:p>
      <w:pPr>
        <w:pStyle w:val="ListParagraph"/>
        <w:numPr>
          <w:ilvl w:val="0"/>
          <w:numId w:val="2"/>
        </w:numPr>
        <w:spacing w:after="80" w:line="280"/>
      </w:pPr>
      <w:r>
        <w:rPr>
          <w:sz w:val="22"/>
          <w:szCs w:val="22"/>
        </w:rPr>
        <w:t xml:space="preserve">Apply scenario planning and foresight discipline to keep work relevant.</w:t>
      </w:r>
    </w:p>
    <w:p>
      <w:pPr>
        <w:pStyle w:val="ListParagraph"/>
        <w:numPr>
          <w:ilvl w:val="0"/>
          <w:numId w:val="2"/>
        </w:numPr>
        <w:spacing w:after="80" w:line="280"/>
      </w:pPr>
      <w:r>
        <w:rPr>
          <w:sz w:val="22"/>
          <w:szCs w:val="22"/>
        </w:rPr>
        <w:t xml:space="preserve">Make recommendations they can defend professionally.</w:t>
      </w:r>
    </w:p>
    <w:p>
      <w:pPr>
        <w:pStyle w:val="Heading2"/>
        <w:spacing w:after="160" w:before="280"/>
      </w:pPr>
      <w:r>
        <w:rPr>
          <w:b/>
          <w:bCs/>
          <w:color w:val="2E75B6"/>
          <w:sz w:val="28"/>
          <w:szCs w:val="28"/>
        </w:rPr>
        <w:t xml:space="preserve">Four Possible Outcomes</w:t>
      </w:r>
    </w:p>
    <w:p>
      <w:pPr>
        <w:spacing w:after="120" w:line="300"/>
        <w:jc w:val="left"/>
      </w:pPr>
      <w:r>
        <w:rPr>
          <w:sz w:val="22"/>
          <w:szCs w:val="22"/>
        </w:rPr>
        <w:t xml:space="preserve">Upon Capstone review, the participant receives one of four outcomes:</w:t>
      </w:r>
    </w:p>
    <w:p>
      <w:pPr>
        <w:pStyle w:val="ListParagraph"/>
        <w:numPr>
          <w:ilvl w:val="0"/>
          <w:numId w:val="2"/>
        </w:numPr>
        <w:spacing w:after="80" w:line="280"/>
      </w:pPr>
      <w:r>
        <w:rPr>
          <w:b/>
          <w:bCs/>
          <w:sz w:val="22"/>
          <w:szCs w:val="22"/>
        </w:rPr>
        <w:t xml:space="preserve">Certified — </w:t>
      </w:r>
      <w:r>
        <w:rPr>
          <w:sz w:val="22"/>
          <w:szCs w:val="22"/>
        </w:rPr>
        <w:t xml:space="preserve">the Dossier meets the standard; the credential is awarded.</w:t>
      </w:r>
    </w:p>
    <w:p>
      <w:pPr>
        <w:pStyle w:val="ListParagraph"/>
        <w:numPr>
          <w:ilvl w:val="0"/>
          <w:numId w:val="2"/>
        </w:numPr>
        <w:spacing w:after="80" w:line="280"/>
      </w:pPr>
      <w:r>
        <w:rPr>
          <w:b/>
          <w:bCs/>
          <w:sz w:val="22"/>
          <w:szCs w:val="22"/>
        </w:rPr>
        <w:t xml:space="preserve">Conditionally Certified — </w:t>
      </w:r>
      <w:r>
        <w:rPr>
          <w:sz w:val="22"/>
          <w:szCs w:val="22"/>
        </w:rPr>
        <w:t xml:space="preserve">the Dossier is close; specified revisions are required.</w:t>
      </w:r>
    </w:p>
    <w:p>
      <w:pPr>
        <w:pStyle w:val="ListParagraph"/>
        <w:numPr>
          <w:ilvl w:val="0"/>
          <w:numId w:val="2"/>
        </w:numPr>
        <w:spacing w:after="80" w:line="280"/>
      </w:pPr>
      <w:r>
        <w:rPr>
          <w:b/>
          <w:bCs/>
          <w:sz w:val="22"/>
          <w:szCs w:val="22"/>
        </w:rPr>
        <w:t xml:space="preserve">Completed, Not Certified — </w:t>
      </w:r>
      <w:r>
        <w:rPr>
          <w:sz w:val="22"/>
          <w:szCs w:val="22"/>
        </w:rPr>
        <w:t xml:space="preserve">the program was completed but the work does not meet the certification standard.</w:t>
      </w:r>
    </w:p>
    <w:p>
      <w:pPr>
        <w:pStyle w:val="ListParagraph"/>
        <w:numPr>
          <w:ilvl w:val="0"/>
          <w:numId w:val="2"/>
        </w:numPr>
        <w:spacing w:after="80" w:line="280"/>
      </w:pPr>
      <w:r>
        <w:rPr>
          <w:b/>
          <w:bCs/>
          <w:sz w:val="22"/>
          <w:szCs w:val="22"/>
        </w:rPr>
        <w:t xml:space="preserve">Not Completed — </w:t>
      </w:r>
      <w:r>
        <w:rPr>
          <w:sz w:val="22"/>
          <w:szCs w:val="22"/>
        </w:rPr>
        <w:t xml:space="preserve">required work was not submitted.</w:t>
      </w:r>
    </w:p>
    <w:p>
      <w:r>
        <w:br w:type="page"/>
      </w:r>
    </w:p>
    <w:p>
      <w:pPr>
        <w:pStyle w:val="Heading1"/>
        <w:spacing w:after="200" w:before="360"/>
      </w:pPr>
      <w:r>
        <w:rPr>
          <w:b/>
          <w:bCs/>
          <w:color w:val="1F4E79"/>
          <w:sz w:val="36"/>
          <w:szCs w:val="36"/>
        </w:rPr>
        <w:t xml:space="preserve">7. The User Journey: From Pro to Certified TenXPro</w:t>
      </w:r>
    </w:p>
    <w:p>
      <w:pPr>
        <w:pStyle w:val="Heading2"/>
        <w:spacing w:after="160" w:before="280"/>
      </w:pPr>
      <w:r>
        <w:rPr>
          <w:b/>
          <w:bCs/>
          <w:color w:val="2E75B6"/>
          <w:sz w:val="28"/>
          <w:szCs w:val="28"/>
        </w:rPr>
        <w:t xml:space="preserve">The Journey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4E79" w:val="clear"/>
            <w:tcMar>
              <w:top w:type="dxa" w:w="200"/>
              <w:left w:type="dxa" w:w="240"/>
              <w:bottom w:type="dxa" w:w="200"/>
              <w:right w:type="dxa" w:w="240"/>
            </w:tcMar>
          </w:tcPr>
          <w:p>
            <w:pPr>
              <w:jc w:val="center"/>
            </w:pPr>
            <w:r>
              <w:rPr>
                <w:b/>
                <w:bCs/>
                <w:color w:val="FFFFFF"/>
                <w:sz w:val="18"/>
                <w:szCs w:val="18"/>
              </w:rPr>
              <w:t xml:space="preserve">Pro → Apply → Admission Review → Starter Pack → Diagnostic Intake → Personalized Path → Coach Assignment → 11 Modules → Living Dossier → Capstone → Certified TenXPro → TenXPros Directory Profile → Updates Access → TenXPro Radar</w:t>
            </w:r>
          </w:p>
        </w:tc>
      </w:tr>
    </w:tbl>
    <w:p>
      <w:pPr>
        <w:spacing w:after="200"/>
      </w:pPr>
    </w:p>
    <w:p>
      <w:pPr>
        <w:pStyle w:val="Heading2"/>
        <w:spacing w:after="160" w:before="280"/>
      </w:pPr>
      <w:r>
        <w:rPr>
          <w:b/>
          <w:bCs/>
          <w:color w:val="2E75B6"/>
          <w:sz w:val="28"/>
          <w:szCs w:val="28"/>
        </w:rPr>
        <w:t xml:space="preserve">Step 1 — Apply</w:t>
      </w:r>
    </w:p>
    <w:p>
      <w:pPr>
        <w:spacing w:after="120" w:line="300"/>
        <w:jc w:val="left"/>
      </w:pPr>
      <w:r>
        <w:rPr>
          <w:sz w:val="22"/>
          <w:szCs w:val="22"/>
        </w:rPr>
        <w:t xml:space="preserve">The participant submits an application that collects:</w:t>
      </w:r>
    </w:p>
    <w:p>
      <w:pPr>
        <w:pStyle w:val="ListParagraph"/>
        <w:numPr>
          <w:ilvl w:val="0"/>
          <w:numId w:val="2"/>
        </w:numPr>
        <w:spacing w:after="80" w:line="280"/>
      </w:pPr>
      <w:r>
        <w:rPr>
          <w:sz w:val="22"/>
          <w:szCs w:val="22"/>
        </w:rPr>
        <w:t xml:space="preserve">Professional background and current role.</w:t>
      </w:r>
    </w:p>
    <w:p>
      <w:pPr>
        <w:pStyle w:val="ListParagraph"/>
        <w:numPr>
          <w:ilvl w:val="0"/>
          <w:numId w:val="2"/>
        </w:numPr>
        <w:spacing w:after="80" w:line="280"/>
      </w:pPr>
      <w:r>
        <w:rPr>
          <w:sz w:val="22"/>
          <w:szCs w:val="22"/>
        </w:rPr>
        <w:t xml:space="preserve">Field or industry.</w:t>
      </w:r>
    </w:p>
    <w:p>
      <w:pPr>
        <w:pStyle w:val="ListParagraph"/>
        <w:numPr>
          <w:ilvl w:val="0"/>
          <w:numId w:val="2"/>
        </w:numPr>
        <w:spacing w:after="80" w:line="280"/>
      </w:pPr>
      <w:r>
        <w:rPr>
          <w:sz w:val="22"/>
          <w:szCs w:val="22"/>
        </w:rPr>
        <w:t xml:space="preserve">Prior AI experience and tools used.</w:t>
      </w:r>
    </w:p>
    <w:p>
      <w:pPr>
        <w:pStyle w:val="ListParagraph"/>
        <w:numPr>
          <w:ilvl w:val="0"/>
          <w:numId w:val="2"/>
        </w:numPr>
        <w:spacing w:after="80" w:line="280"/>
      </w:pPr>
      <w:r>
        <w:rPr>
          <w:sz w:val="22"/>
          <w:szCs w:val="22"/>
        </w:rPr>
        <w:t xml:space="preserve">Motivation for joining.</w:t>
      </w:r>
    </w:p>
    <w:p>
      <w:pPr>
        <w:pStyle w:val="ListParagraph"/>
        <w:numPr>
          <w:ilvl w:val="0"/>
          <w:numId w:val="2"/>
        </w:numPr>
        <w:spacing w:after="80" w:line="280"/>
      </w:pPr>
      <w:r>
        <w:rPr>
          <w:sz w:val="22"/>
          <w:szCs w:val="22"/>
        </w:rPr>
        <w:t xml:space="preserve">A short initial problem statement from their current work.</w:t>
      </w:r>
    </w:p>
    <w:p>
      <w:pPr>
        <w:pStyle w:val="ListParagraph"/>
        <w:numPr>
          <w:ilvl w:val="0"/>
          <w:numId w:val="2"/>
        </w:numPr>
        <w:spacing w:after="80" w:line="280"/>
      </w:pPr>
      <w:r>
        <w:rPr>
          <w:sz w:val="22"/>
          <w:szCs w:val="22"/>
        </w:rPr>
        <w:t xml:space="preserve">Time availability over 12 weeks.</w:t>
      </w:r>
    </w:p>
    <w:p>
      <w:pPr>
        <w:pStyle w:val="ListParagraph"/>
        <w:numPr>
          <w:ilvl w:val="0"/>
          <w:numId w:val="2"/>
        </w:numPr>
        <w:spacing w:after="80" w:line="280"/>
      </w:pPr>
      <w:r>
        <w:rPr>
          <w:sz w:val="22"/>
          <w:szCs w:val="22"/>
        </w:rPr>
        <w:t xml:space="preserve">Exposure to sensitive data, privacy, or compliance constraints.</w:t>
      </w:r>
    </w:p>
    <w:p>
      <w:pPr>
        <w:pStyle w:val="ListParagraph"/>
        <w:numPr>
          <w:ilvl w:val="0"/>
          <w:numId w:val="2"/>
        </w:numPr>
        <w:spacing w:after="80" w:line="280"/>
      </w:pPr>
      <w:r>
        <w:rPr>
          <w:sz w:val="22"/>
          <w:szCs w:val="22"/>
        </w:rPr>
        <w:t xml:space="preserve">Desired outcome and stakes.</w:t>
      </w:r>
    </w:p>
    <w:p>
      <w:pPr>
        <w:pStyle w:val="ListParagraph"/>
        <w:numPr>
          <w:ilvl w:val="0"/>
          <w:numId w:val="2"/>
        </w:numPr>
        <w:spacing w:after="80" w:line="280"/>
      </w:pPr>
      <w:r>
        <w:rPr>
          <w:sz w:val="22"/>
          <w:szCs w:val="22"/>
        </w:rPr>
        <w:t xml:space="preserve">Language preference and support needs.</w:t>
      </w:r>
    </w:p>
    <w:p>
      <w:pPr>
        <w:pStyle w:val="Heading2"/>
        <w:spacing w:after="160" w:before="280"/>
      </w:pPr>
      <w:r>
        <w:rPr>
          <w:b/>
          <w:bCs/>
          <w:color w:val="2E75B6"/>
          <w:sz w:val="28"/>
          <w:szCs w:val="28"/>
        </w:rPr>
        <w:t xml:space="preserve">Step 2 — Admission Review</w:t>
      </w:r>
    </w:p>
    <w:p>
      <w:pPr>
        <w:spacing w:after="120" w:line="300"/>
        <w:jc w:val="left"/>
      </w:pPr>
      <w:r>
        <w:rPr>
          <w:sz w:val="22"/>
          <w:szCs w:val="22"/>
        </w:rPr>
        <w:t xml:space="preserve">Within 2-3 business days, the application is reviewed against clear criteria: professional maturity, clarity of domain, seriousness of intent, problem relevance, ethical awareness, readiness to work with feedback, and ability to commit time.</w:t>
      </w:r>
    </w:p>
    <w:p>
      <w:pPr>
        <w:spacing w:after="200"/>
      </w:pPr>
    </w:p>
    <w:p>
      <w:pPr>
        <w:spacing w:after="120" w:line="300"/>
        <w:jc w:val="left"/>
      </w:pPr>
      <w:r>
        <w:rPr>
          <w:sz w:val="22"/>
          <w:szCs w:val="22"/>
        </w:rPr>
        <w:t xml:space="preserve">Outcomes: Accepted, Revise &amp; Reapply, or Not Accepted.</w:t>
      </w:r>
    </w:p>
    <w:p>
      <w:pPr>
        <w:pStyle w:val="Heading2"/>
        <w:spacing w:after="160" w:before="280"/>
      </w:pPr>
      <w:r>
        <w:rPr>
          <w:b/>
          <w:bCs/>
          <w:color w:val="2E75B6"/>
          <w:sz w:val="28"/>
          <w:szCs w:val="28"/>
        </w:rPr>
        <w:t xml:space="preserve">Step 3 — Starter Pack</w:t>
      </w:r>
    </w:p>
    <w:p>
      <w:pPr>
        <w:spacing w:after="120" w:line="300"/>
        <w:jc w:val="left"/>
      </w:pPr>
      <w:r>
        <w:rPr>
          <w:sz w:val="22"/>
          <w:szCs w:val="22"/>
        </w:rPr>
        <w:t xml:space="preserve">Upon acceptance, the participant receives the Starter Pack — a structured onboarding document that explains what TenXPros is and is not, what a TenXPro is, how the adaptive journey and coach system work, how community and tickets operate, confidentiality rules, AI usage guidelines, and how to prepare for the Diagnostic Intake.</w:t>
      </w:r>
    </w:p>
    <w:p>
      <w:pPr>
        <w:spacing w:after="200"/>
      </w:pPr>
    </w:p>
    <w:p>
      <w:pPr>
        <w:spacing w:after="120" w:line="300"/>
        <w:jc w:val="left"/>
      </w:pPr>
      <w:r>
        <w:rPr>
          <w:sz w:val="22"/>
          <w:szCs w:val="22"/>
        </w:rPr>
        <w:t xml:space="preserve">Output: a refined Initial Problem Brief that the participant submits to anchor the Diagnostic Intake.</w:t>
      </w:r>
    </w:p>
    <w:p>
      <w:pPr>
        <w:pStyle w:val="Heading2"/>
        <w:spacing w:after="160" w:before="280"/>
      </w:pPr>
      <w:r>
        <w:rPr>
          <w:b/>
          <w:bCs/>
          <w:color w:val="2E75B6"/>
          <w:sz w:val="28"/>
          <w:szCs w:val="28"/>
        </w:rPr>
        <w:t xml:space="preserve">Step 4 — Diagnostic Intake</w:t>
      </w:r>
    </w:p>
    <w:p>
      <w:pPr>
        <w:spacing w:after="120" w:line="300"/>
        <w:jc w:val="left"/>
      </w:pPr>
      <w:r>
        <w:rPr>
          <w:sz w:val="22"/>
          <w:szCs w:val="22"/>
        </w:rPr>
        <w:t xml:space="preserve">The Diagnostic Intake is the moment where personalization begins. It is a structured, written instrument that captures the eight customization dimensions detailed in Section 11.</w:t>
      </w:r>
    </w:p>
    <w:p>
      <w:pPr>
        <w:pStyle w:val="Heading2"/>
        <w:spacing w:after="160" w:before="280"/>
      </w:pPr>
      <w:r>
        <w:rPr>
          <w:b/>
          <w:bCs/>
          <w:color w:val="2E75B6"/>
          <w:sz w:val="28"/>
          <w:szCs w:val="28"/>
        </w:rPr>
        <w:t xml:space="preserve">Step 5 — Personalized Path</w:t>
      </w:r>
    </w:p>
    <w:p>
      <w:pPr>
        <w:spacing w:after="120" w:line="300"/>
        <w:jc w:val="left"/>
      </w:pPr>
      <w:r>
        <w:rPr>
          <w:sz w:val="22"/>
          <w:szCs w:val="22"/>
        </w:rPr>
        <w:t xml:space="preserve">Based on the Diagnostic Intake, the participant receives their personalized path. The core structure is the same for everyone — four phases, eleven modules — but the materials, examples, exercises, risk emphasis, solution patterns, foresight depth, and pacing are tailored to the participant's situation.</w:t>
      </w:r>
    </w:p>
    <w:p>
      <w:pPr>
        <w:pStyle w:val="Heading2"/>
        <w:spacing w:after="160" w:before="280"/>
      </w:pPr>
      <w:r>
        <w:rPr>
          <w:b/>
          <w:bCs/>
          <w:color w:val="2E75B6"/>
          <w:sz w:val="28"/>
          <w:szCs w:val="28"/>
        </w:rPr>
        <w:t xml:space="preserve">Step 6 — Coach Assignment</w:t>
      </w:r>
    </w:p>
    <w:p>
      <w:pPr>
        <w:spacing w:after="120" w:line="300"/>
        <w:jc w:val="left"/>
      </w:pPr>
      <w:r>
        <w:rPr>
          <w:sz w:val="22"/>
          <w:szCs w:val="22"/>
        </w:rPr>
        <w:t xml:space="preserve">Every participant is assigned a Personal AI Coach for the 12 weeks. For members 1-30 (Charter Tiers 1-3), the founder personally serves as coach. For Tier 4 and beyond, founder-trained certified AI coaches are assigned.</w:t>
      </w:r>
    </w:p>
    <w:p>
      <w:pPr>
        <w:pStyle w:val="Heading2"/>
        <w:spacing w:after="160" w:before="280"/>
      </w:pPr>
      <w:r>
        <w:rPr>
          <w:b/>
          <w:bCs/>
          <w:color w:val="2E75B6"/>
          <w:sz w:val="28"/>
          <w:szCs w:val="28"/>
        </w:rPr>
        <w:t xml:space="preserve">Step 7 — Eleven Modules Across Four Phases</w:t>
      </w:r>
    </w:p>
    <w:p>
      <w:pPr>
        <w:spacing w:after="120" w:line="300"/>
        <w:jc w:val="left"/>
      </w:pPr>
      <w:r>
        <w:rPr>
          <w:sz w:val="22"/>
          <w:szCs w:val="22"/>
        </w:rPr>
        <w:t xml:space="preserve">The participant moves through the eleven modules across the four phases over 12 weeks, producing a structured artifact at each module and earning module-level badges.</w:t>
      </w:r>
    </w:p>
    <w:p>
      <w:pPr>
        <w:pStyle w:val="Heading2"/>
        <w:spacing w:after="160" w:before="280"/>
      </w:pPr>
      <w:r>
        <w:rPr>
          <w:b/>
          <w:bCs/>
          <w:color w:val="2E75B6"/>
          <w:sz w:val="28"/>
          <w:szCs w:val="28"/>
        </w:rPr>
        <w:t xml:space="preserve">Step 8 — Capstone</w:t>
      </w:r>
    </w:p>
    <w:p>
      <w:pPr>
        <w:spacing w:after="120" w:line="300"/>
        <w:jc w:val="left"/>
      </w:pPr>
      <w:r>
        <w:rPr>
          <w:sz w:val="22"/>
          <w:szCs w:val="22"/>
        </w:rPr>
        <w:t xml:space="preserve">The participant integrates all artifacts into a final Living AI Solution Dossier and submits it for review.</w:t>
      </w:r>
    </w:p>
    <w:p>
      <w:pPr>
        <w:pStyle w:val="Heading2"/>
        <w:spacing w:after="160" w:before="280"/>
      </w:pPr>
      <w:r>
        <w:rPr>
          <w:b/>
          <w:bCs/>
          <w:color w:val="2E75B6"/>
          <w:sz w:val="28"/>
          <w:szCs w:val="28"/>
        </w:rPr>
        <w:t xml:space="preserve">Step 9 — Certification Decision</w:t>
      </w:r>
    </w:p>
    <w:p>
      <w:pPr>
        <w:spacing w:after="120" w:line="300"/>
        <w:jc w:val="left"/>
      </w:pPr>
      <w:r>
        <w:rPr>
          <w:sz w:val="22"/>
          <w:szCs w:val="22"/>
        </w:rPr>
        <w:t xml:space="preserve">Within a defined review window, the participant receives one of the four outcomes.</w:t>
      </w:r>
    </w:p>
    <w:p>
      <w:pPr>
        <w:pStyle w:val="Heading2"/>
        <w:spacing w:after="160" w:before="280"/>
      </w:pPr>
      <w:r>
        <w:rPr>
          <w:b/>
          <w:bCs/>
          <w:color w:val="2E75B6"/>
          <w:sz w:val="28"/>
          <w:szCs w:val="28"/>
        </w:rPr>
        <w:t xml:space="preserve">Step 10 — TenXPros Directory Profile</w:t>
      </w:r>
    </w:p>
    <w:p>
      <w:pPr>
        <w:spacing w:after="120" w:line="300"/>
        <w:jc w:val="left"/>
      </w:pPr>
      <w:r>
        <w:rPr>
          <w:sz w:val="22"/>
          <w:szCs w:val="22"/>
        </w:rPr>
        <w:t xml:space="preserve">Every Certified TenXPro receives a featured profile in the public TenXPros Directory, where organizations and clients can discover AI-ready professionals by domain. The Directory launches in Month 6 of the program's life, with all certified graduates included automatically.</w:t>
      </w:r>
    </w:p>
    <w:p>
      <w:pPr>
        <w:pStyle w:val="Heading2"/>
        <w:spacing w:after="160" w:before="280"/>
      </w:pPr>
      <w:r>
        <w:rPr>
          <w:b/>
          <w:bCs/>
          <w:color w:val="2E75B6"/>
          <w:sz w:val="28"/>
          <w:szCs w:val="28"/>
        </w:rPr>
        <w:t xml:space="preserve">Step 11 — Updates Access</w:t>
      </w:r>
    </w:p>
    <w:p>
      <w:pPr>
        <w:spacing w:after="120" w:line="300"/>
        <w:jc w:val="left"/>
      </w:pPr>
      <w:r>
        <w:rPr>
          <w:sz w:val="22"/>
          <w:szCs w:val="22"/>
        </w:rPr>
        <w:t xml:space="preserve">Every certified TenXPro receives access to updated program materials, monthly briefs, and quarterly founder updates for the period specified by their tier (6-18 months by tier — see Section 27).</w:t>
      </w:r>
    </w:p>
    <w:p>
      <w:pPr>
        <w:pStyle w:val="Heading2"/>
        <w:spacing w:after="160" w:before="280"/>
      </w:pPr>
      <w:r>
        <w:rPr>
          <w:b/>
          <w:bCs/>
          <w:color w:val="2E75B6"/>
          <w:sz w:val="28"/>
          <w:szCs w:val="28"/>
        </w:rPr>
        <w:t xml:space="preserve">Step 12 — TenXPro Radar</w:t>
      </w:r>
    </w:p>
    <w:p>
      <w:pPr>
        <w:spacing w:after="120" w:line="300"/>
        <w:jc w:val="left"/>
      </w:pPr>
      <w:r>
        <w:rPr>
          <w:sz w:val="22"/>
          <w:szCs w:val="22"/>
        </w:rPr>
        <w:t xml:space="preserve">After the included updates period ends, graduates may continue with TenXPro Radar — an alumni-only update membership — to remain current as AI capabilities, risks, and regulations evolve.</w:t>
      </w:r>
    </w:p>
    <w:p>
      <w:r>
        <w:br w:type="page"/>
      </w:r>
    </w:p>
    <w:p>
      <w:pPr>
        <w:pStyle w:val="Heading1"/>
        <w:spacing w:after="200" w:before="360"/>
      </w:pPr>
      <w:r>
        <w:rPr>
          <w:b/>
          <w:bCs/>
          <w:color w:val="1F4E79"/>
          <w:sz w:val="36"/>
          <w:szCs w:val="36"/>
        </w:rPr>
        <w:t xml:space="preserve">8. The Four-Phase Program Structure</w:t>
      </w:r>
    </w:p>
    <w:p>
      <w:pPr>
        <w:spacing w:after="120" w:line="300"/>
        <w:jc w:val="left"/>
      </w:pPr>
      <w:r>
        <w:rPr>
          <w:sz w:val="22"/>
          <w:szCs w:val="22"/>
        </w:rPr>
        <w:t xml:space="preserve">The public face of TenXPros is intentionally simple. While the internal architecture includes eleven modules, the participant journey is communicated as four clear phases that map directly to the tagline: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EAF1F8" w:val="clear"/>
            <w:tcMar>
              <w:top w:type="dxa" w:w="200"/>
              <w:left w:type="dxa" w:w="280"/>
              <w:bottom w:type="dxa" w:w="200"/>
              <w:right w:type="dxa" w:w="280"/>
            </w:tcMar>
          </w:tcPr>
          <w:p>
            <w:pPr>
              <w:spacing w:after="100"/>
            </w:pPr>
            <w:r>
              <w:rPr>
                <w:b/>
                <w:bCs/>
                <w:color w:val="1F4E79"/>
                <w:sz w:val="24"/>
                <w:szCs w:val="24"/>
              </w:rPr>
              <w:t xml:space="preserve">The TenXPros structure</w:t>
            </w:r>
          </w:p>
          <w:p>
            <w:pPr>
              <w:spacing w:after="0"/>
            </w:pPr>
            <w:r>
              <w:rPr>
                <w:color w:val="262626"/>
                <w:sz w:val="22"/>
                <w:szCs w:val="22"/>
              </w:rPr>
              <w:t xml:space="preserve">Frame → Design → Prove → Foresee</w:t>
            </w:r>
          </w:p>
        </w:tc>
      </w:tr>
    </w:tbl>
    <w:p>
      <w:pPr>
        <w:pStyle w:val="Heading2"/>
        <w:spacing w:after="160" w:before="280"/>
      </w:pPr>
      <w:r>
        <w:rPr>
          <w:b/>
          <w:bCs/>
          <w:color w:val="2E75B6"/>
          <w:sz w:val="28"/>
          <w:szCs w:val="28"/>
        </w:rPr>
        <w:t xml:space="preserve">Phase 1 — Frame (Weeks 1-4): Where Do I Start?</w:t>
      </w:r>
    </w:p>
    <w:p>
      <w:pPr>
        <w:spacing w:after="120" w:line="300"/>
        <w:jc w:val="left"/>
      </w:pPr>
      <w:r>
        <w:rPr>
          <w:sz w:val="22"/>
          <w:szCs w:val="22"/>
        </w:rPr>
        <w:t xml:space="preserve">The Frame phase ensures that the participant is grounded, responsible, and clear before any solution is designed.</w:t>
      </w:r>
    </w:p>
    <w:p>
      <w:pPr>
        <w:spacing w:after="200"/>
      </w:pPr>
    </w:p>
    <w:p>
      <w:pPr>
        <w:spacing w:after="120" w:line="300"/>
        <w:jc w:val="left"/>
      </w:pPr>
      <w:r>
        <w:rPr>
          <w:sz w:val="22"/>
          <w:szCs w:val="22"/>
        </w:rPr>
        <w:t xml:space="preserve">Modules in this phase:</w:t>
      </w:r>
    </w:p>
    <w:p>
      <w:pPr>
        <w:pStyle w:val="ListParagraph"/>
        <w:numPr>
          <w:ilvl w:val="0"/>
          <w:numId w:val="2"/>
        </w:numPr>
        <w:spacing w:after="80" w:line="280"/>
      </w:pPr>
      <w:r>
        <w:rPr>
          <w:sz w:val="22"/>
          <w:szCs w:val="22"/>
        </w:rPr>
        <w:t xml:space="preserve">Module 1: AI Readiness &amp; TenXPro Mindset</w:t>
      </w:r>
    </w:p>
    <w:p>
      <w:pPr>
        <w:pStyle w:val="ListParagraph"/>
        <w:numPr>
          <w:ilvl w:val="0"/>
          <w:numId w:val="2"/>
        </w:numPr>
        <w:spacing w:after="80" w:line="280"/>
      </w:pPr>
      <w:r>
        <w:rPr>
          <w:sz w:val="22"/>
          <w:szCs w:val="22"/>
        </w:rPr>
        <w:t xml:space="preserve">Module 2: Practical AI Literacy &amp; Hands-On Tool Fluency</w:t>
      </w:r>
    </w:p>
    <w:p>
      <w:pPr>
        <w:pStyle w:val="ListParagraph"/>
        <w:numPr>
          <w:ilvl w:val="0"/>
          <w:numId w:val="2"/>
        </w:numPr>
        <w:spacing w:after="80" w:line="280"/>
      </w:pPr>
      <w:r>
        <w:rPr>
          <w:sz w:val="22"/>
          <w:szCs w:val="22"/>
        </w:rPr>
        <w:t xml:space="preserve">Module 3: Responsible AI &amp; Professional Boundaries</w:t>
      </w:r>
    </w:p>
    <w:p>
      <w:pPr>
        <w:pStyle w:val="ListParagraph"/>
        <w:numPr>
          <w:ilvl w:val="0"/>
          <w:numId w:val="2"/>
        </w:numPr>
        <w:spacing w:after="80" w:line="280"/>
      </w:pPr>
      <w:r>
        <w:rPr>
          <w:sz w:val="22"/>
          <w:szCs w:val="22"/>
        </w:rPr>
        <w:t xml:space="preserve">Module 4: Problem Discovery &amp; Structured Framing</w:t>
      </w:r>
    </w:p>
    <w:p>
      <w:pPr>
        <w:spacing w:after="200"/>
      </w:pPr>
    </w:p>
    <w:p>
      <w:pPr>
        <w:spacing w:after="120" w:line="300"/>
        <w:jc w:val="left"/>
      </w:pPr>
      <w:r>
        <w:rPr>
          <w:sz w:val="22"/>
          <w:szCs w:val="22"/>
        </w:rPr>
        <w:t xml:space="preserve">Phase 1 outputs feed the Dossier: AI Readiness Reflection, AI Capability &amp; Limitation Map, Responsible AI Risk Awareness Checklist, Problem Framing Memo.</w:t>
      </w:r>
    </w:p>
    <w:p>
      <w:pPr>
        <w:pStyle w:val="Heading2"/>
        <w:spacing w:after="160" w:before="280"/>
      </w:pPr>
      <w:r>
        <w:rPr>
          <w:b/>
          <w:bCs/>
          <w:color w:val="2E75B6"/>
          <w:sz w:val="28"/>
          <w:szCs w:val="28"/>
        </w:rPr>
        <w:t xml:space="preserve">Phase 2 — Design (Weeks 5-8): How Do I Do It?</w:t>
      </w:r>
    </w:p>
    <w:p>
      <w:pPr>
        <w:spacing w:after="120" w:line="300"/>
        <w:jc w:val="left"/>
      </w:pPr>
      <w:r>
        <w:rPr>
          <w:sz w:val="22"/>
          <w:szCs w:val="22"/>
        </w:rPr>
        <w:t xml:space="preserve">The Design phase moves from understanding to construction. The participant maps context, gathers evidence, analyzes workflow, and designs a responsible AI-enabled solution.</w:t>
      </w:r>
    </w:p>
    <w:p>
      <w:pPr>
        <w:spacing w:after="200"/>
      </w:pPr>
    </w:p>
    <w:p>
      <w:pPr>
        <w:spacing w:after="120" w:line="300"/>
        <w:jc w:val="left"/>
      </w:pPr>
      <w:r>
        <w:rPr>
          <w:sz w:val="22"/>
          <w:szCs w:val="22"/>
        </w:rPr>
        <w:t xml:space="preserve">Modules in this phase:</w:t>
      </w:r>
    </w:p>
    <w:p>
      <w:pPr>
        <w:pStyle w:val="ListParagraph"/>
        <w:numPr>
          <w:ilvl w:val="0"/>
          <w:numId w:val="2"/>
        </w:numPr>
        <w:spacing w:after="80" w:line="280"/>
      </w:pPr>
      <w:r>
        <w:rPr>
          <w:sz w:val="22"/>
          <w:szCs w:val="22"/>
        </w:rPr>
        <w:t xml:space="preserve">Module 5: Context, Stakeholder &amp; Initial Foresight Mapping</w:t>
      </w:r>
    </w:p>
    <w:p>
      <w:pPr>
        <w:pStyle w:val="ListParagraph"/>
        <w:numPr>
          <w:ilvl w:val="0"/>
          <w:numId w:val="2"/>
        </w:numPr>
        <w:spacing w:after="80" w:line="280"/>
      </w:pPr>
      <w:r>
        <w:rPr>
          <w:sz w:val="22"/>
          <w:szCs w:val="22"/>
        </w:rPr>
        <w:t xml:space="preserve">Module 6: Data, Evidence &amp; Verification Discipline</w:t>
      </w:r>
    </w:p>
    <w:p>
      <w:pPr>
        <w:pStyle w:val="ListParagraph"/>
        <w:numPr>
          <w:ilvl w:val="0"/>
          <w:numId w:val="2"/>
        </w:numPr>
        <w:spacing w:after="80" w:line="280"/>
      </w:pPr>
      <w:r>
        <w:rPr>
          <w:sz w:val="22"/>
          <w:szCs w:val="22"/>
        </w:rPr>
        <w:t xml:space="preserve">Module 7: Workflow, Task &amp; Human-AI Allocation</w:t>
      </w:r>
    </w:p>
    <w:p>
      <w:pPr>
        <w:pStyle w:val="ListParagraph"/>
        <w:numPr>
          <w:ilvl w:val="0"/>
          <w:numId w:val="2"/>
        </w:numPr>
        <w:spacing w:after="80" w:line="280"/>
      </w:pPr>
      <w:r>
        <w:rPr>
          <w:sz w:val="22"/>
          <w:szCs w:val="22"/>
        </w:rPr>
        <w:t xml:space="preserve">Module 8: Responsible AI Solution Design</w:t>
      </w:r>
    </w:p>
    <w:p>
      <w:pPr>
        <w:spacing w:after="200"/>
      </w:pPr>
    </w:p>
    <w:p>
      <w:pPr>
        <w:spacing w:after="120" w:line="300"/>
        <w:jc w:val="left"/>
      </w:pPr>
      <w:r>
        <w:rPr>
          <w:sz w:val="22"/>
          <w:szCs w:val="22"/>
        </w:rPr>
        <w:t xml:space="preserve">Phase 2 outputs feed the Dossier: Context &amp; Stakeholder Brief, Evidence Table &amp; Claim Ledger, Workflow Map &amp; Human-AI Allocation Matrix, Responsible AI Solution Canvas.</w:t>
      </w:r>
    </w:p>
    <w:p>
      <w:pPr>
        <w:pStyle w:val="Heading2"/>
        <w:spacing w:after="160" w:before="280"/>
      </w:pPr>
      <w:r>
        <w:rPr>
          <w:b/>
          <w:bCs/>
          <w:color w:val="2E75B6"/>
          <w:sz w:val="28"/>
          <w:szCs w:val="28"/>
        </w:rPr>
        <w:t xml:space="preserve">Phase 3 — Prove (Weeks 9-10): How Do I Evaluate It?</w:t>
      </w:r>
    </w:p>
    <w:p>
      <w:pPr>
        <w:spacing w:after="120" w:line="300"/>
        <w:jc w:val="left"/>
      </w:pPr>
      <w:r>
        <w:rPr>
          <w:sz w:val="22"/>
          <w:szCs w:val="22"/>
        </w:rPr>
        <w:t xml:space="preserve">The Prove phase moves from design to defensible value. The participant plans adoption and defines measurable value.</w:t>
      </w:r>
    </w:p>
    <w:p>
      <w:pPr>
        <w:spacing w:after="200"/>
      </w:pPr>
    </w:p>
    <w:p>
      <w:pPr>
        <w:spacing w:after="120" w:line="300"/>
        <w:jc w:val="left"/>
      </w:pPr>
      <w:r>
        <w:rPr>
          <w:sz w:val="22"/>
          <w:szCs w:val="22"/>
        </w:rPr>
        <w:t xml:space="preserve">Modules in this phase:</w:t>
      </w:r>
    </w:p>
    <w:p>
      <w:pPr>
        <w:pStyle w:val="ListParagraph"/>
        <w:numPr>
          <w:ilvl w:val="0"/>
          <w:numId w:val="2"/>
        </w:numPr>
        <w:spacing w:after="80" w:line="280"/>
      </w:pPr>
      <w:r>
        <w:rPr>
          <w:sz w:val="22"/>
          <w:szCs w:val="22"/>
        </w:rPr>
        <w:t xml:space="preserve">Module 9: Adoption, Communication &amp; Change Design</w:t>
      </w:r>
    </w:p>
    <w:p>
      <w:pPr>
        <w:pStyle w:val="ListParagraph"/>
        <w:numPr>
          <w:ilvl w:val="0"/>
          <w:numId w:val="2"/>
        </w:numPr>
        <w:spacing w:after="80" w:line="280"/>
      </w:pPr>
      <w:r>
        <w:rPr>
          <w:sz w:val="22"/>
          <w:szCs w:val="22"/>
        </w:rPr>
        <w:t xml:space="preserve">Module 10: Value, Roadmap &amp; Proof Plan</w:t>
      </w:r>
    </w:p>
    <w:p>
      <w:pPr>
        <w:spacing w:after="200"/>
      </w:pPr>
    </w:p>
    <w:p>
      <w:pPr>
        <w:spacing w:after="120" w:line="300"/>
        <w:jc w:val="left"/>
      </w:pPr>
      <w:r>
        <w:rPr>
          <w:sz w:val="22"/>
          <w:szCs w:val="22"/>
        </w:rPr>
        <w:t xml:space="preserve">Phase 3 outputs feed the Dossier: Adoption &amp; Communication Plan; Value, Roadmap &amp; Proof Plan.</w:t>
      </w:r>
    </w:p>
    <w:p>
      <w:pPr>
        <w:pStyle w:val="Heading2"/>
        <w:spacing w:after="160" w:before="280"/>
      </w:pPr>
      <w:r>
        <w:rPr>
          <w:b/>
          <w:bCs/>
          <w:color w:val="2E75B6"/>
          <w:sz w:val="28"/>
          <w:szCs w:val="28"/>
        </w:rPr>
        <w:t xml:space="preserve">Phase 4 — Foresee (Week 11): How Do I Stay Relevant?</w:t>
      </w:r>
    </w:p>
    <w:p>
      <w:pPr>
        <w:spacing w:after="120" w:line="300"/>
        <w:jc w:val="left"/>
      </w:pPr>
      <w:r>
        <w:rPr>
          <w:sz w:val="22"/>
          <w:szCs w:val="22"/>
        </w:rPr>
        <w:t xml:space="preserve">The Foresee phase is what makes a TenXPro durable. AI changes faster than any other professional skill in modern memory. A solution that is excellent today can be irrelevant in eighteen months unless the participant has the discipline of foresight.</w:t>
      </w:r>
    </w:p>
    <w:p>
      <w:pPr>
        <w:spacing w:after="200"/>
      </w:pPr>
    </w:p>
    <w:p>
      <w:pPr>
        <w:spacing w:after="120" w:line="300"/>
        <w:jc w:val="left"/>
      </w:pPr>
      <w:r>
        <w:rPr>
          <w:sz w:val="22"/>
          <w:szCs w:val="22"/>
        </w:rPr>
        <w:t xml:space="preserve">Module in this phase:</w:t>
      </w:r>
    </w:p>
    <w:p>
      <w:pPr>
        <w:pStyle w:val="ListParagraph"/>
        <w:numPr>
          <w:ilvl w:val="0"/>
          <w:numId w:val="2"/>
        </w:numPr>
        <w:spacing w:after="80" w:line="280"/>
      </w:pPr>
      <w:r>
        <w:rPr>
          <w:sz w:val="22"/>
          <w:szCs w:val="22"/>
        </w:rPr>
        <w:t xml:space="preserve">Module 11: AI Foresight, Scenario Planning &amp; Future-Proofing</w:t>
      </w:r>
    </w:p>
    <w:p>
      <w:pPr>
        <w:spacing w:after="200"/>
      </w:pPr>
    </w:p>
    <w:p>
      <w:pPr>
        <w:spacing w:after="120" w:line="300"/>
        <w:jc w:val="left"/>
      </w:pPr>
      <w:r>
        <w:rPr>
          <w:sz w:val="22"/>
          <w:szCs w:val="22"/>
        </w:rPr>
        <w:t xml:space="preserve">Phase 4 output feeds the Dossier: Personal AI Foresight Plan with scenarios, signals, and monitoring strategy.</w:t>
      </w:r>
    </w:p>
    <w:p>
      <w:pPr>
        <w:pStyle w:val="Heading2"/>
        <w:spacing w:after="160" w:before="280"/>
      </w:pPr>
      <w:r>
        <w:rPr>
          <w:b/>
          <w:bCs/>
          <w:color w:val="2E75B6"/>
          <w:sz w:val="28"/>
          <w:szCs w:val="28"/>
        </w:rPr>
        <w:t xml:space="preserve">Week 12 — Capstone Integration</w:t>
      </w:r>
    </w:p>
    <w:p>
      <w:pPr>
        <w:spacing w:after="120" w:line="300"/>
        <w:jc w:val="left"/>
      </w:pPr>
      <w:r>
        <w:rPr>
          <w:sz w:val="22"/>
          <w:szCs w:val="22"/>
        </w:rPr>
        <w:t xml:space="preserve">The final week is dedicated to integrating all eleven module outputs into the complete Living AI Solution Dossier for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FFF4E5" w:val="clear"/>
            <w:tcMar>
              <w:top w:type="dxa" w:w="200"/>
              <w:left w:type="dxa" w:w="280"/>
              <w:bottom w:type="dxa" w:w="200"/>
              <w:right w:type="dxa" w:w="280"/>
            </w:tcMar>
          </w:tcPr>
          <w:p>
            <w:pPr>
              <w:spacing w:after="100"/>
            </w:pPr>
            <w:r>
              <w:rPr>
                <w:b/>
                <w:bCs/>
                <w:color w:val="1F4E79"/>
                <w:sz w:val="24"/>
                <w:szCs w:val="24"/>
              </w:rPr>
              <w:t xml:space="preserve">Why four phases, not three</w:t>
            </w:r>
          </w:p>
          <w:p>
            <w:pPr>
              <w:spacing w:after="0"/>
            </w:pPr>
            <w:r>
              <w:rPr>
                <w:color w:val="262626"/>
                <w:sz w:val="22"/>
                <w:szCs w:val="22"/>
              </w:rPr>
              <w:t xml:space="preserve">Adding Foresee as the fourth phase reflects what TenXPros believes most AI programs ignore: a certification that does not include forward-looking discipline becomes obsolete with the next AI capability shift. Foresee is what makes a TenXPro durable, not just current.</w:t>
            </w:r>
          </w:p>
        </w:tc>
      </w:tr>
    </w:tbl>
    <w:p>
      <w:r>
        <w:br w:type="page"/>
      </w:r>
    </w:p>
    <w:p>
      <w:pPr>
        <w:pStyle w:val="Heading1"/>
        <w:spacing w:after="200" w:before="360"/>
      </w:pPr>
      <w:r>
        <w:rPr>
          <w:b/>
          <w:bCs/>
          <w:color w:val="1F4E79"/>
          <w:sz w:val="36"/>
          <w:szCs w:val="36"/>
        </w:rPr>
        <w:t xml:space="preserve">9. The Eleven Modules (Internal Architecture)</w:t>
      </w:r>
    </w:p>
    <w:p>
      <w:pPr>
        <w:spacing w:after="120" w:line="300"/>
        <w:jc w:val="left"/>
      </w:pPr>
      <w:r>
        <w:rPr>
          <w:sz w:val="22"/>
          <w:szCs w:val="22"/>
        </w:rPr>
        <w:t xml:space="preserve">Inside the four phases, eleven modules form the assessment backbone. Each module has a clear purpose, a core question, learning content, hands-on exercises, and a required artifact. Every participant must pass all eleven modules to be eligible for certification.</w:t>
      </w:r>
    </w:p>
    <w:p>
      <w:pPr>
        <w:pStyle w:val="Heading2"/>
        <w:spacing w:after="160" w:before="280"/>
      </w:pPr>
      <w:r>
        <w:rPr>
          <w:b/>
          <w:bCs/>
          <w:color w:val="2E75B6"/>
          <w:sz w:val="28"/>
          <w:szCs w:val="28"/>
        </w:rPr>
        <w:t xml:space="preserve">Phase 1 — Frame</w:t>
      </w:r>
    </w:p>
    <w:p>
      <w:pPr>
        <w:pStyle w:val="Heading3"/>
        <w:spacing w:after="120" w:before="200"/>
      </w:pPr>
      <w:r>
        <w:rPr>
          <w:b/>
          <w:bCs/>
          <w:color w:val="404040"/>
          <w:sz w:val="24"/>
          <w:szCs w:val="24"/>
        </w:rPr>
        <w:t xml:space="preserve">Module 1: AI Readiness &amp; TenXPro Mindset</w:t>
      </w:r>
    </w:p>
    <w:p>
      <w:pPr>
        <w:spacing w:after="120" w:line="300"/>
        <w:jc w:val="left"/>
      </w:pPr>
      <w:r>
        <w:rPr>
          <w:sz w:val="22"/>
          <w:szCs w:val="22"/>
        </w:rPr>
        <w:t xml:space="preserve">Core question: How does a TenXPro think differently from a regular AI user?</w:t>
      </w:r>
    </w:p>
    <w:p>
      <w:pPr>
        <w:spacing w:after="120" w:line="300"/>
        <w:jc w:val="left"/>
      </w:pPr>
      <w:r>
        <w:rPr>
          <w:sz w:val="22"/>
          <w:szCs w:val="22"/>
        </w:rPr>
        <w:t xml:space="preserve">Coverage: AI usage vs AI readiness; AI as capability not just tool; human judgment in the AI era; why real problems come before tools; professional responsibility; the limits of automation; the TenXPro identity.</w:t>
      </w:r>
    </w:p>
    <w:p>
      <w:pPr>
        <w:spacing w:after="120" w:line="300"/>
        <w:jc w:val="left"/>
      </w:pPr>
      <w:r>
        <w:rPr>
          <w:sz w:val="22"/>
          <w:szCs w:val="22"/>
        </w:rPr>
        <w:t xml:space="preserve">Artifact: AI Readiness Reflection.</w:t>
      </w:r>
    </w:p>
    <w:p>
      <w:pPr>
        <w:spacing w:after="120" w:line="300"/>
        <w:jc w:val="left"/>
      </w:pPr>
      <w:r>
        <w:rPr>
          <w:sz w:val="22"/>
          <w:szCs w:val="22"/>
        </w:rPr>
        <w:t xml:space="preserve">Badge: TenX Mindset Badge.</w:t>
      </w:r>
    </w:p>
    <w:p>
      <w:pPr>
        <w:pStyle w:val="Heading3"/>
        <w:spacing w:after="120" w:before="200"/>
      </w:pPr>
      <w:r>
        <w:rPr>
          <w:b/>
          <w:bCs/>
          <w:color w:val="404040"/>
          <w:sz w:val="24"/>
          <w:szCs w:val="24"/>
        </w:rPr>
        <w:t xml:space="preserve">Module 2: Practical AI Literacy &amp; Hands-On Tool Fluency</w:t>
      </w:r>
    </w:p>
    <w:p>
      <w:pPr>
        <w:spacing w:after="120" w:line="300"/>
        <w:jc w:val="left"/>
      </w:pPr>
      <w:r>
        <w:rPr>
          <w:sz w:val="22"/>
          <w:szCs w:val="22"/>
        </w:rPr>
        <w:t xml:space="preserve">Core question: What can AI actually do, what can it not do, and how do I use the major tools effectively in real work?</w:t>
      </w:r>
    </w:p>
    <w:p>
      <w:pPr>
        <w:spacing w:after="120" w:line="300"/>
        <w:jc w:val="left"/>
      </w:pPr>
      <w:r>
        <w:rPr>
          <w:sz w:val="22"/>
          <w:szCs w:val="22"/>
        </w:rPr>
        <w:t xml:space="preserve">Coverage: LLMs, generative AI, RAG, AI agents, automation, APIs, multimodal AI, predictive AI; hands-on practice with major tools (ChatGPT, Claude, Gemini, NotebookLM, custom GPTs, agentic tools); prompt engineering as practical discipline; context engineering as practical discipline; hallucination, bias, model limitations; when AI is useful, risky, unnecessary, or should not be used.</w:t>
      </w:r>
    </w:p>
    <w:p>
      <w:pPr>
        <w:spacing w:after="120" w:line="300"/>
        <w:jc w:val="left"/>
      </w:pPr>
      <w:r>
        <w:rPr>
          <w:sz w:val="22"/>
          <w:szCs w:val="22"/>
        </w:rPr>
        <w:t xml:space="preserve">Artifact: AI Capability &amp; Limitation Map with hands-on tool fluency demonstration.</w:t>
      </w:r>
    </w:p>
    <w:p>
      <w:pPr>
        <w:spacing w:after="120" w:line="300"/>
        <w:jc w:val="left"/>
      </w:pPr>
      <w:r>
        <w:rPr>
          <w:sz w:val="22"/>
          <w:szCs w:val="22"/>
        </w:rPr>
        <w:t xml:space="preserve">Badge: AI Core Badge.</w:t>
      </w:r>
    </w:p>
    <w:p>
      <w:pPr>
        <w:pStyle w:val="Heading3"/>
        <w:spacing w:after="120" w:before="200"/>
      </w:pPr>
      <w:r>
        <w:rPr>
          <w:b/>
          <w:bCs/>
          <w:color w:val="404040"/>
          <w:sz w:val="24"/>
          <w:szCs w:val="24"/>
        </w:rPr>
        <w:t xml:space="preserve">Module 3: Responsible AI &amp; Professional Boundaries</w:t>
      </w:r>
    </w:p>
    <w:p>
      <w:pPr>
        <w:spacing w:after="120" w:line="300"/>
        <w:jc w:val="left"/>
      </w:pPr>
      <w:r>
        <w:rPr>
          <w:sz w:val="22"/>
          <w:szCs w:val="22"/>
        </w:rPr>
        <w:t xml:space="preserve">Core question: When is AI use responsible, safe, ethical, and professionally defensible?</w:t>
      </w:r>
    </w:p>
    <w:p>
      <w:pPr>
        <w:spacing w:after="120" w:line="300"/>
        <w:jc w:val="left"/>
      </w:pPr>
      <w:r>
        <w:rPr>
          <w:sz w:val="22"/>
          <w:szCs w:val="22"/>
        </w:rPr>
        <w:t xml:space="preserve">Coverage: responsible AI principles, ethics, privacy, confidentiality, security risks, sensitive data, human oversight, professional liability, bias and fairness, data leakage, prompt injection basics, compliance awareness, red lines, when not to use AI.</w:t>
      </w:r>
    </w:p>
    <w:p>
      <w:pPr>
        <w:spacing w:after="120" w:line="300"/>
        <w:jc w:val="left"/>
      </w:pPr>
      <w:r>
        <w:rPr>
          <w:sz w:val="22"/>
          <w:szCs w:val="22"/>
        </w:rPr>
        <w:t xml:space="preserve">Artifact: Responsible AI Risk Awareness Checklist.</w:t>
      </w:r>
    </w:p>
    <w:p>
      <w:pPr>
        <w:spacing w:after="120" w:line="300"/>
        <w:jc w:val="left"/>
      </w:pPr>
      <w:r>
        <w:rPr>
          <w:sz w:val="22"/>
          <w:szCs w:val="22"/>
        </w:rPr>
        <w:t xml:space="preserve">Badge: Responsible AI Foundations Badge.</w:t>
      </w:r>
    </w:p>
    <w:p>
      <w:pPr>
        <w:pStyle w:val="Heading3"/>
        <w:spacing w:after="120" w:before="200"/>
      </w:pPr>
      <w:r>
        <w:rPr>
          <w:b/>
          <w:bCs/>
          <w:color w:val="404040"/>
          <w:sz w:val="24"/>
          <w:szCs w:val="24"/>
        </w:rPr>
        <w:t xml:space="preserve">Module 4: Problem Discovery &amp; Structured Framing</w:t>
      </w:r>
    </w:p>
    <w:p>
      <w:pPr>
        <w:spacing w:after="120" w:line="300"/>
        <w:jc w:val="left"/>
      </w:pPr>
      <w:r>
        <w:rPr>
          <w:sz w:val="22"/>
          <w:szCs w:val="22"/>
        </w:rPr>
        <w:t xml:space="preserve">Core question: What is the real problem, and how should it be framed before choosing any AI solution?</w:t>
      </w:r>
    </w:p>
    <w:p>
      <w:pPr>
        <w:spacing w:after="120" w:line="300"/>
        <w:jc w:val="left"/>
      </w:pPr>
      <w:r>
        <w:rPr>
          <w:sz w:val="22"/>
          <w:szCs w:val="22"/>
        </w:rPr>
        <w:t xml:space="preserve">Coverage: problem discovery, problem vs symptom, root-cause analysis, structured thinking, MECE thinking, hypothesis-driven thinking, first-principles thinking, key drivers, issue trees, desired outcomes, cost of inaction, avoiding tool-first thinking.</w:t>
      </w:r>
    </w:p>
    <w:p>
      <w:pPr>
        <w:spacing w:after="120" w:line="300"/>
        <w:jc w:val="left"/>
      </w:pPr>
      <w:r>
        <w:rPr>
          <w:sz w:val="22"/>
          <w:szCs w:val="22"/>
        </w:rPr>
        <w:t xml:space="preserve">Artifact: Problem Framing Memo.</w:t>
      </w:r>
    </w:p>
    <w:p>
      <w:pPr>
        <w:spacing w:after="120" w:line="300"/>
        <w:jc w:val="left"/>
      </w:pPr>
      <w:r>
        <w:rPr>
          <w:sz w:val="22"/>
          <w:szCs w:val="22"/>
        </w:rPr>
        <w:t xml:space="preserve">Badge: Frame Badge.</w:t>
      </w:r>
    </w:p>
    <w:p>
      <w:pPr>
        <w:pStyle w:val="Heading2"/>
        <w:spacing w:after="160" w:before="280"/>
      </w:pPr>
      <w:r>
        <w:rPr>
          <w:b/>
          <w:bCs/>
          <w:color w:val="2E75B6"/>
          <w:sz w:val="28"/>
          <w:szCs w:val="28"/>
        </w:rPr>
        <w:t xml:space="preserve">Phase 2 — Design</w:t>
      </w:r>
    </w:p>
    <w:p>
      <w:pPr>
        <w:pStyle w:val="Heading3"/>
        <w:spacing w:after="120" w:before="200"/>
      </w:pPr>
      <w:r>
        <w:rPr>
          <w:b/>
          <w:bCs/>
          <w:color w:val="404040"/>
          <w:sz w:val="24"/>
          <w:szCs w:val="24"/>
        </w:rPr>
        <w:t xml:space="preserve">Module 5: Context, Stakeholder &amp; Initial Foresight Mapping</w:t>
      </w:r>
    </w:p>
    <w:p>
      <w:pPr>
        <w:spacing w:after="120" w:line="300"/>
        <w:jc w:val="left"/>
      </w:pPr>
      <w:r>
        <w:rPr>
          <w:sz w:val="22"/>
          <w:szCs w:val="22"/>
        </w:rPr>
        <w:t xml:space="preserve">Core question: What context surrounds the problem, who is affected, and what initial AI signals must be watched?</w:t>
      </w:r>
    </w:p>
    <w:p>
      <w:pPr>
        <w:spacing w:after="120" w:line="300"/>
        <w:jc w:val="left"/>
      </w:pPr>
      <w:r>
        <w:rPr>
          <w:sz w:val="22"/>
          <w:szCs w:val="22"/>
        </w:rPr>
        <w:t xml:space="preserve">Coverage: domain context, user needs, organizational context, stakeholder mapping, power and incentives, market signals, peer behavior, initial AI adoption signals, vendor and tool landscape, emerging AI capabilities, regulatory horizon, opportunity timing.</w:t>
      </w:r>
    </w:p>
    <w:p>
      <w:pPr>
        <w:spacing w:after="120" w:line="300"/>
        <w:jc w:val="left"/>
      </w:pPr>
      <w:r>
        <w:rPr>
          <w:sz w:val="22"/>
          <w:szCs w:val="22"/>
        </w:rPr>
        <w:t xml:space="preserve">Artifact: Context &amp; Stakeholder Brief.</w:t>
      </w:r>
    </w:p>
    <w:p>
      <w:pPr>
        <w:spacing w:after="120" w:line="300"/>
        <w:jc w:val="left"/>
      </w:pPr>
      <w:r>
        <w:rPr>
          <w:sz w:val="22"/>
          <w:szCs w:val="22"/>
        </w:rPr>
        <w:t xml:space="preserve">Badge: Foresight Compass Badge.</w:t>
      </w:r>
    </w:p>
    <w:p>
      <w:pPr>
        <w:pStyle w:val="Heading3"/>
        <w:spacing w:after="120" w:before="200"/>
      </w:pPr>
      <w:r>
        <w:rPr>
          <w:b/>
          <w:bCs/>
          <w:color w:val="404040"/>
          <w:sz w:val="24"/>
          <w:szCs w:val="24"/>
        </w:rPr>
        <w:t xml:space="preserve">Module 6: Data, Evidence &amp; Verification Discipline</w:t>
      </w:r>
    </w:p>
    <w:p>
      <w:pPr>
        <w:spacing w:after="120" w:line="300"/>
        <w:jc w:val="left"/>
      </w:pPr>
      <w:r>
        <w:rPr>
          <w:sz w:val="22"/>
          <w:szCs w:val="22"/>
        </w:rPr>
        <w:t xml:space="preserve">Core question: What do we really know, what are we assuming, and how do we verify AI-supported work?</w:t>
      </w:r>
    </w:p>
    <w:p>
      <w:pPr>
        <w:spacing w:after="120" w:line="300"/>
        <w:jc w:val="left"/>
      </w:pPr>
      <w:r>
        <w:rPr>
          <w:sz w:val="22"/>
          <w:szCs w:val="22"/>
        </w:rPr>
        <w:t xml:space="preserve">Coverage: data quality, source reliability, fact vs estimate vs assumption, claim ledger, evidence table, uncertainty, confidence levels, hallucination detection, citation checking, verification workflow, AI-assisted research discipline, expert review triggers.</w:t>
      </w:r>
    </w:p>
    <w:p>
      <w:pPr>
        <w:spacing w:after="120" w:line="300"/>
        <w:jc w:val="left"/>
      </w:pPr>
      <w:r>
        <w:rPr>
          <w:sz w:val="22"/>
          <w:szCs w:val="22"/>
        </w:rPr>
        <w:t xml:space="preserve">Artifact: Evidence Table &amp; Claim Ledger.</w:t>
      </w:r>
    </w:p>
    <w:p>
      <w:pPr>
        <w:spacing w:after="120" w:line="300"/>
        <w:jc w:val="left"/>
      </w:pPr>
      <w:r>
        <w:rPr>
          <w:sz w:val="22"/>
          <w:szCs w:val="22"/>
        </w:rPr>
        <w:t xml:space="preserve">Badge: Evidence Badge.</w:t>
      </w:r>
    </w:p>
    <w:p>
      <w:pPr>
        <w:pStyle w:val="Heading3"/>
        <w:spacing w:after="120" w:before="200"/>
      </w:pPr>
      <w:r>
        <w:rPr>
          <w:b/>
          <w:bCs/>
          <w:color w:val="404040"/>
          <w:sz w:val="24"/>
          <w:szCs w:val="24"/>
        </w:rPr>
        <w:t xml:space="preserve">Module 7: Workflow, Task &amp; Human-AI Allocation</w:t>
      </w:r>
    </w:p>
    <w:p>
      <w:pPr>
        <w:spacing w:after="120" w:line="300"/>
        <w:jc w:val="left"/>
      </w:pPr>
      <w:r>
        <w:rPr>
          <w:sz w:val="22"/>
          <w:szCs w:val="22"/>
        </w:rPr>
        <w:t xml:space="preserve">Core question: How does the work actually happen, and where should AI fit within it?</w:t>
      </w:r>
    </w:p>
    <w:p>
      <w:pPr>
        <w:spacing w:after="120" w:line="300"/>
        <w:jc w:val="left"/>
      </w:pPr>
      <w:r>
        <w:rPr>
          <w:sz w:val="22"/>
          <w:szCs w:val="22"/>
        </w:rPr>
        <w:t xml:space="preserve">Coverage: workflow mapping, task decomposition, actors, handoffs, bottlenecks, decision points, systems involved, human checkpoints, AI-assisted tasks, human-led tasks, automation candidates, tasks not suitable for AI, measurement readiness, workflow failure points.</w:t>
      </w:r>
    </w:p>
    <w:p>
      <w:pPr>
        <w:spacing w:after="120" w:line="300"/>
        <w:jc w:val="left"/>
      </w:pPr>
      <w:r>
        <w:rPr>
          <w:sz w:val="22"/>
          <w:szCs w:val="22"/>
        </w:rPr>
        <w:t xml:space="preserve">Artifact: Workflow Map &amp; Human-AI Allocation Matrix.</w:t>
      </w:r>
    </w:p>
    <w:p>
      <w:pPr>
        <w:spacing w:after="120" w:line="300"/>
        <w:jc w:val="left"/>
      </w:pPr>
      <w:r>
        <w:rPr>
          <w:sz w:val="22"/>
          <w:szCs w:val="22"/>
        </w:rPr>
        <w:t xml:space="preserve">Badge: Workflow Radar Badge.</w:t>
      </w:r>
    </w:p>
    <w:p>
      <w:pPr>
        <w:pStyle w:val="Heading3"/>
        <w:spacing w:after="120" w:before="200"/>
      </w:pPr>
      <w:r>
        <w:rPr>
          <w:b/>
          <w:bCs/>
          <w:color w:val="404040"/>
          <w:sz w:val="24"/>
          <w:szCs w:val="24"/>
        </w:rPr>
        <w:t xml:space="preserve">Module 8: Responsible AI Solution Design</w:t>
      </w:r>
    </w:p>
    <w:p>
      <w:pPr>
        <w:spacing w:after="120" w:line="300"/>
        <w:jc w:val="left"/>
      </w:pPr>
      <w:r>
        <w:rPr>
          <w:sz w:val="22"/>
          <w:szCs w:val="22"/>
        </w:rPr>
        <w:t xml:space="preserve">Core question: How do we design an AI-enabled solution that is useful, safe, human-centered, and realistic?</w:t>
      </w:r>
    </w:p>
    <w:p>
      <w:pPr>
        <w:spacing w:after="120" w:line="300"/>
        <w:jc w:val="left"/>
      </w:pPr>
      <w:r>
        <w:rPr>
          <w:sz w:val="22"/>
          <w:szCs w:val="22"/>
        </w:rPr>
        <w:t xml:space="preserve">Coverage: responsible solution design, human-AI collaboration, assist vs augment vs automate, tool selection, LLM vs RAG vs automation vs dashboard vs agent, workflow redesign, guardrails, review points, UX basics, escalation paths, failure modes, safe design, solution limitations, build vs buy awareness.</w:t>
      </w:r>
    </w:p>
    <w:p>
      <w:pPr>
        <w:spacing w:after="120" w:line="300"/>
        <w:jc w:val="left"/>
      </w:pPr>
      <w:r>
        <w:rPr>
          <w:sz w:val="22"/>
          <w:szCs w:val="22"/>
        </w:rPr>
        <w:t xml:space="preserve">Artifact: Responsible AI Solution Canvas.</w:t>
      </w:r>
    </w:p>
    <w:p>
      <w:pPr>
        <w:spacing w:after="120" w:line="300"/>
        <w:jc w:val="left"/>
      </w:pPr>
      <w:r>
        <w:rPr>
          <w:sz w:val="22"/>
          <w:szCs w:val="22"/>
        </w:rPr>
        <w:t xml:space="preserve">Badge: Responsible Solution Badge.</w:t>
      </w:r>
    </w:p>
    <w:p>
      <w:pPr>
        <w:pStyle w:val="Heading2"/>
        <w:spacing w:after="160" w:before="280"/>
      </w:pPr>
      <w:r>
        <w:rPr>
          <w:b/>
          <w:bCs/>
          <w:color w:val="2E75B6"/>
          <w:sz w:val="28"/>
          <w:szCs w:val="28"/>
        </w:rPr>
        <w:t xml:space="preserve">Phase 3 — Prove</w:t>
      </w:r>
    </w:p>
    <w:p>
      <w:pPr>
        <w:pStyle w:val="Heading3"/>
        <w:spacing w:after="120" w:before="200"/>
      </w:pPr>
      <w:r>
        <w:rPr>
          <w:b/>
          <w:bCs/>
          <w:color w:val="404040"/>
          <w:sz w:val="24"/>
          <w:szCs w:val="24"/>
        </w:rPr>
        <w:t xml:space="preserve">Module 9: Adoption, Communication &amp; Change Design</w:t>
      </w:r>
    </w:p>
    <w:p>
      <w:pPr>
        <w:spacing w:after="120" w:line="300"/>
        <w:jc w:val="left"/>
      </w:pPr>
      <w:r>
        <w:rPr>
          <w:sz w:val="22"/>
          <w:szCs w:val="22"/>
        </w:rPr>
        <w:t xml:space="preserve">Core question: How do we help people trust, understand, and adopt an AI-enabled solution?</w:t>
      </w:r>
    </w:p>
    <w:p>
      <w:pPr>
        <w:spacing w:after="120" w:line="300"/>
        <w:jc w:val="left"/>
      </w:pPr>
      <w:r>
        <w:rPr>
          <w:sz w:val="22"/>
          <w:szCs w:val="22"/>
        </w:rPr>
        <w:t xml:space="preserve">Coverage: stakeholder psychology, trust, resistance, fear of replacement, change fatigue, role-based communication, training needs, champions, behavior change, user enablement, feedback loops, human dignity, persuasion without manipulation, adoption signals.</w:t>
      </w:r>
    </w:p>
    <w:p>
      <w:pPr>
        <w:spacing w:after="120" w:line="300"/>
        <w:jc w:val="left"/>
      </w:pPr>
      <w:r>
        <w:rPr>
          <w:sz w:val="22"/>
          <w:szCs w:val="22"/>
        </w:rPr>
        <w:t xml:space="preserve">Artifact: Adoption &amp; Communication Plan.</w:t>
      </w:r>
    </w:p>
    <w:p>
      <w:pPr>
        <w:spacing w:after="120" w:line="300"/>
        <w:jc w:val="left"/>
      </w:pPr>
      <w:r>
        <w:rPr>
          <w:sz w:val="22"/>
          <w:szCs w:val="22"/>
        </w:rPr>
        <w:t xml:space="preserve">Badge: Adoption Bridge Badge.</w:t>
      </w:r>
    </w:p>
    <w:p>
      <w:pPr>
        <w:pStyle w:val="Heading3"/>
        <w:spacing w:after="120" w:before="200"/>
      </w:pPr>
      <w:r>
        <w:rPr>
          <w:b/>
          <w:bCs/>
          <w:color w:val="404040"/>
          <w:sz w:val="24"/>
          <w:szCs w:val="24"/>
        </w:rPr>
        <w:t xml:space="preserve">Module 10: Value, Roadmap &amp; Proof Plan</w:t>
      </w:r>
    </w:p>
    <w:p>
      <w:pPr>
        <w:spacing w:after="120" w:line="300"/>
        <w:jc w:val="left"/>
      </w:pPr>
      <w:r>
        <w:rPr>
          <w:sz w:val="22"/>
          <w:szCs w:val="22"/>
        </w:rPr>
        <w:t xml:space="preserve">Core question: How do we know whether the AI-enabled solution creates real value and should continue?</w:t>
      </w:r>
    </w:p>
    <w:p>
      <w:pPr>
        <w:spacing w:after="120" w:line="300"/>
        <w:jc w:val="left"/>
      </w:pPr>
      <w:r>
        <w:rPr>
          <w:sz w:val="22"/>
          <w:szCs w:val="22"/>
        </w:rPr>
        <w:t xml:space="preserve">Coverage: value drivers, productivity, quality, cost, speed, risk reduction, customer or user experience, KPI design, baseline definition, proof plan, roadmap, pilot logic, measurement windows, continue/pivot/stop logic.</w:t>
      </w:r>
    </w:p>
    <w:p>
      <w:pPr>
        <w:spacing w:after="120" w:line="300"/>
        <w:jc w:val="left"/>
      </w:pPr>
      <w:r>
        <w:rPr>
          <w:sz w:val="22"/>
          <w:szCs w:val="22"/>
        </w:rPr>
        <w:t xml:space="preserve">Artifact: Value, Roadmap &amp; Proof Plan.</w:t>
      </w:r>
    </w:p>
    <w:p>
      <w:pPr>
        <w:spacing w:after="120" w:line="300"/>
        <w:jc w:val="left"/>
      </w:pPr>
      <w:r>
        <w:rPr>
          <w:sz w:val="22"/>
          <w:szCs w:val="22"/>
        </w:rPr>
        <w:t xml:space="preserve">Badge: Proof Seal.</w:t>
      </w:r>
    </w:p>
    <w:p>
      <w:pPr>
        <w:pStyle w:val="Heading2"/>
        <w:spacing w:after="160" w:before="280"/>
      </w:pPr>
      <w:r>
        <w:rPr>
          <w:b/>
          <w:bCs/>
          <w:color w:val="2E75B6"/>
          <w:sz w:val="28"/>
          <w:szCs w:val="28"/>
        </w:rPr>
        <w:t xml:space="preserve">Phase 4 — Foresee</w:t>
      </w:r>
    </w:p>
    <w:p>
      <w:pPr>
        <w:pStyle w:val="Heading3"/>
        <w:spacing w:after="120" w:before="200"/>
      </w:pPr>
      <w:r>
        <w:rPr>
          <w:b/>
          <w:bCs/>
          <w:color w:val="404040"/>
          <w:sz w:val="24"/>
          <w:szCs w:val="24"/>
        </w:rPr>
        <w:t xml:space="preserve">Module 11: AI Foresight, Scenario Planning &amp; Future-Proofing</w:t>
      </w:r>
    </w:p>
    <w:p>
      <w:pPr>
        <w:spacing w:after="120" w:line="300"/>
        <w:jc w:val="left"/>
      </w:pPr>
      <w:r>
        <w:rPr>
          <w:sz w:val="22"/>
          <w:szCs w:val="22"/>
        </w:rPr>
        <w:t xml:space="preserve">Core question: How do I see the future of AI in my field clearly enough to position myself ahead, and how do I keep this work relevant as AI evolves?</w:t>
      </w:r>
    </w:p>
    <w:p>
      <w:pPr>
        <w:spacing w:after="120" w:line="300"/>
        <w:jc w:val="left"/>
      </w:pPr>
      <w:r>
        <w:rPr>
          <w:sz w:val="22"/>
          <w:szCs w:val="22"/>
        </w:rPr>
        <w:t xml:space="preserve">Coverage: futures thinking fundamentals; the difference between forecast and foresight; signal scanning methodology; scenario planning with three to four plausible scenarios; the AI capability trajectory across one, three, and five years; regulatory horizon scanning across EU, US, and UK; personal foresight discipline as ongoing practice; strategic positioning within possible AI futures; the Watchtower mindset for continuous monitoring; how to update one's own work and Dossier as AI evolves.</w:t>
      </w:r>
    </w:p>
    <w:p>
      <w:pPr>
        <w:spacing w:after="120" w:line="300"/>
        <w:jc w:val="left"/>
      </w:pPr>
      <w:r>
        <w:rPr>
          <w:sz w:val="22"/>
          <w:szCs w:val="22"/>
        </w:rPr>
        <w:t xml:space="preserve">Artifact: Personal AI Foresight Plan, including scenarios, signals to monitor, regulatory horizon, strategic position, and an update discipline for the next 24 months.</w:t>
      </w:r>
    </w:p>
    <w:p>
      <w:pPr>
        <w:spacing w:after="120" w:line="300"/>
        <w:jc w:val="left"/>
      </w:pPr>
      <w:r>
        <w:rPr>
          <w:sz w:val="22"/>
          <w:szCs w:val="22"/>
        </w:rPr>
        <w:t xml:space="preserve">Badge: Foresight Strategist Badge.</w:t>
      </w:r>
    </w:p>
    <w:p>
      <w:pPr>
        <w:pStyle w:val="Heading2"/>
        <w:spacing w:after="160" w:before="280"/>
      </w:pPr>
      <w:r>
        <w:rPr>
          <w:b/>
          <w:bCs/>
          <w:color w:val="2E75B6"/>
          <w:sz w:val="28"/>
          <w:szCs w:val="28"/>
        </w:rPr>
        <w:t xml:space="preserve">Module Assessment Outcomes</w:t>
      </w:r>
    </w:p>
    <w:p>
      <w:pPr>
        <w:spacing w:after="120" w:line="300"/>
        <w:jc w:val="left"/>
      </w:pPr>
      <w:r>
        <w:rPr>
          <w:sz w:val="22"/>
          <w:szCs w:val="22"/>
        </w:rPr>
        <w:t xml:space="preserve">Each module produces an assessable artifact. Possible outcomes per module:</w:t>
      </w:r>
    </w:p>
    <w:p>
      <w:pPr>
        <w:pStyle w:val="ListParagraph"/>
        <w:numPr>
          <w:ilvl w:val="0"/>
          <w:numId w:val="2"/>
        </w:numPr>
        <w:spacing w:after="80" w:line="280"/>
      </w:pPr>
      <w:r>
        <w:rPr>
          <w:b/>
          <w:bCs/>
          <w:sz w:val="22"/>
          <w:szCs w:val="22"/>
        </w:rPr>
        <w:t xml:space="preserve">Pass — </w:t>
      </w:r>
      <w:r>
        <w:rPr>
          <w:sz w:val="22"/>
          <w:szCs w:val="22"/>
        </w:rPr>
        <w:t xml:space="preserve">the participant meets the standard and advances.</w:t>
      </w:r>
    </w:p>
    <w:p>
      <w:pPr>
        <w:pStyle w:val="ListParagraph"/>
        <w:numPr>
          <w:ilvl w:val="0"/>
          <w:numId w:val="2"/>
        </w:numPr>
        <w:spacing w:after="80" w:line="280"/>
      </w:pPr>
      <w:r>
        <w:rPr>
          <w:b/>
          <w:bCs/>
          <w:sz w:val="22"/>
          <w:szCs w:val="22"/>
        </w:rPr>
        <w:t xml:space="preserve">Revise — </w:t>
      </w:r>
      <w:r>
        <w:rPr>
          <w:sz w:val="22"/>
          <w:szCs w:val="22"/>
        </w:rPr>
        <w:t xml:space="preserve">the participant revises the artifact within a defined time window.</w:t>
      </w:r>
    </w:p>
    <w:p>
      <w:pPr>
        <w:pStyle w:val="ListParagraph"/>
        <w:numPr>
          <w:ilvl w:val="0"/>
          <w:numId w:val="2"/>
        </w:numPr>
        <w:spacing w:after="80" w:line="280"/>
      </w:pPr>
      <w:r>
        <w:rPr>
          <w:b/>
          <w:bCs/>
          <w:sz w:val="22"/>
          <w:szCs w:val="22"/>
        </w:rPr>
        <w:t xml:space="preserve">Remedial — </w:t>
      </w:r>
      <w:r>
        <w:rPr>
          <w:sz w:val="22"/>
          <w:szCs w:val="22"/>
        </w:rPr>
        <w:t xml:space="preserve">an additional micro-module is assigned to close a capability gap.</w:t>
      </w:r>
    </w:p>
    <w:p>
      <w:pPr>
        <w:pStyle w:val="ListParagraph"/>
        <w:numPr>
          <w:ilvl w:val="0"/>
          <w:numId w:val="2"/>
        </w:numPr>
        <w:spacing w:after="80" w:line="280"/>
      </w:pPr>
      <w:r>
        <w:rPr>
          <w:b/>
          <w:bCs/>
          <w:sz w:val="22"/>
          <w:szCs w:val="22"/>
        </w:rPr>
        <w:t xml:space="preserve">Hold — </w:t>
      </w:r>
      <w:r>
        <w:rPr>
          <w:sz w:val="22"/>
          <w:szCs w:val="22"/>
        </w:rPr>
        <w:t xml:space="preserve">the path pauses if there is unsafe AI use, an unresolved confidentiality concern, an invalid problem, unmanageable risk, an ethical red line, or insufficient evidence.</w:t>
      </w:r>
    </w:p>
    <w:p>
      <w:r>
        <w:br w:type="page"/>
      </w:r>
    </w:p>
    <w:p>
      <w:pPr>
        <w:pStyle w:val="Heading1"/>
        <w:spacing w:after="200" w:before="360"/>
      </w:pPr>
      <w:r>
        <w:rPr>
          <w:b/>
          <w:bCs/>
          <w:color w:val="1F4E79"/>
          <w:sz w:val="36"/>
          <w:szCs w:val="36"/>
        </w:rPr>
        <w:t xml:space="preserve">10. The Three Ranks and Badge System</w:t>
      </w:r>
    </w:p>
    <w:p>
      <w:pPr>
        <w:spacing w:after="120" w:line="300"/>
        <w:jc w:val="left"/>
      </w:pPr>
      <w:r>
        <w:rPr>
          <w:sz w:val="22"/>
          <w:szCs w:val="22"/>
        </w:rPr>
        <w:t xml:space="preserve">As participants pass modules, they earn module-level badges and accumulate into three ranks. The rank system gives participants milestones throughout the journey, not only at the end.</w:t>
      </w:r>
    </w:p>
    <w:p>
      <w:pPr>
        <w:pStyle w:val="Heading2"/>
        <w:spacing w:after="160" w:before="280"/>
      </w:pPr>
      <w:r>
        <w:rPr>
          <w:b/>
          <w:bCs/>
          <w:color w:val="2E75B6"/>
          <w:sz w:val="28"/>
          <w:szCs w:val="28"/>
        </w:rPr>
        <w:t xml:space="preserve">Rank 1 — AI-Ready Professional</w:t>
      </w:r>
    </w:p>
    <w:p>
      <w:pPr>
        <w:spacing w:after="120" w:line="300"/>
        <w:jc w:val="left"/>
      </w:pPr>
      <w:r>
        <w:rPr>
          <w:sz w:val="22"/>
          <w:szCs w:val="22"/>
        </w:rPr>
        <w:t xml:space="preserve">Awarded after passing Modules 1-4 (Phase 1 — Frame).</w:t>
      </w:r>
    </w:p>
    <w:p>
      <w:pPr>
        <w:spacing w:after="200"/>
      </w:pPr>
    </w:p>
    <w:p>
      <w:pPr>
        <w:spacing w:after="120" w:line="300"/>
        <w:jc w:val="left"/>
      </w:pPr>
      <w:r>
        <w:rPr>
          <w:sz w:val="22"/>
          <w:szCs w:val="22"/>
        </w:rPr>
        <w:t xml:space="preserve">Rank meaning: The participant has developed the foundational mindset, AI literacy, hands-on tool fluency, responsible AI awareness, and structured problem-framing capability required to begin serious AI-enabled solution work.</w:t>
      </w:r>
    </w:p>
    <w:p>
      <w:pPr>
        <w:spacing w:after="200"/>
      </w:pPr>
    </w:p>
    <w:p>
      <w:pPr>
        <w:spacing w:after="120" w:line="300"/>
        <w:jc w:val="left"/>
      </w:pPr>
      <w:r>
        <w:rPr>
          <w:sz w:val="22"/>
          <w:szCs w:val="22"/>
        </w:rPr>
        <w:t xml:space="preserve">Badges accumulated: TenX Mindset Badge, AI Core Badge, Responsible AI Foundations Badge, Frame Badge.</w:t>
      </w:r>
    </w:p>
    <w:p>
      <w:pPr>
        <w:pStyle w:val="Heading2"/>
        <w:spacing w:after="160" w:before="280"/>
      </w:pPr>
      <w:r>
        <w:rPr>
          <w:b/>
          <w:bCs/>
          <w:color w:val="2E75B6"/>
          <w:sz w:val="28"/>
          <w:szCs w:val="28"/>
        </w:rPr>
        <w:t xml:space="preserve">Rank 2 — AI Problem Solver &amp; Solution Designer</w:t>
      </w:r>
    </w:p>
    <w:p>
      <w:pPr>
        <w:spacing w:after="120" w:line="300"/>
        <w:jc w:val="left"/>
      </w:pPr>
      <w:r>
        <w:rPr>
          <w:sz w:val="22"/>
          <w:szCs w:val="22"/>
        </w:rPr>
        <w:t xml:space="preserve">Awarded after passing Modules 5-8 (Phase 2 — Design).</w:t>
      </w:r>
    </w:p>
    <w:p>
      <w:pPr>
        <w:spacing w:after="200"/>
      </w:pPr>
    </w:p>
    <w:p>
      <w:pPr>
        <w:spacing w:after="120" w:line="300"/>
        <w:jc w:val="left"/>
      </w:pPr>
      <w:r>
        <w:rPr>
          <w:sz w:val="22"/>
          <w:szCs w:val="22"/>
        </w:rPr>
        <w:t xml:space="preserve">Rank meaning: The participant can map context, gather and verify evidence, analyze workflows, allocate work responsibly between human and AI, and design a defensible AI-enabled solution.</w:t>
      </w:r>
    </w:p>
    <w:p>
      <w:pPr>
        <w:spacing w:after="200"/>
      </w:pPr>
    </w:p>
    <w:p>
      <w:pPr>
        <w:spacing w:after="120" w:line="300"/>
        <w:jc w:val="left"/>
      </w:pPr>
      <w:r>
        <w:rPr>
          <w:sz w:val="22"/>
          <w:szCs w:val="22"/>
        </w:rPr>
        <w:t xml:space="preserve">Badges accumulated: Foresight Compass Badge, Evidence Badge, Workflow Radar Badge, Responsible Solution Badge.</w:t>
      </w:r>
    </w:p>
    <w:p>
      <w:pPr>
        <w:pStyle w:val="Heading2"/>
        <w:spacing w:after="160" w:before="280"/>
      </w:pPr>
      <w:r>
        <w:rPr>
          <w:b/>
          <w:bCs/>
          <w:color w:val="2E75B6"/>
          <w:sz w:val="28"/>
          <w:szCs w:val="28"/>
        </w:rPr>
        <w:t xml:space="preserve">Rank 3 — Future-Ready AI Solution Designer</w:t>
      </w:r>
    </w:p>
    <w:p>
      <w:pPr>
        <w:spacing w:after="120" w:line="300"/>
        <w:jc w:val="left"/>
      </w:pPr>
      <w:r>
        <w:rPr>
          <w:sz w:val="22"/>
          <w:szCs w:val="22"/>
        </w:rPr>
        <w:t xml:space="preserve">Awarded after passing Modules 9-11 (Phase 3 — Prove and Phase 4 — Foresee).</w:t>
      </w:r>
    </w:p>
    <w:p>
      <w:pPr>
        <w:spacing w:after="200"/>
      </w:pPr>
    </w:p>
    <w:p>
      <w:pPr>
        <w:spacing w:after="120" w:line="300"/>
        <w:jc w:val="left"/>
      </w:pPr>
      <w:r>
        <w:rPr>
          <w:sz w:val="22"/>
          <w:szCs w:val="22"/>
        </w:rPr>
        <w:t xml:space="preserve">Rank meaning: The participant can plan adoption with real stakeholders, define measurable value and proof logic, and build a strategic foresight plan that keeps their work relevant as AI evolves.</w:t>
      </w:r>
    </w:p>
    <w:p>
      <w:pPr>
        <w:spacing w:after="200"/>
      </w:pPr>
    </w:p>
    <w:p>
      <w:pPr>
        <w:spacing w:after="120" w:line="300"/>
        <w:jc w:val="left"/>
      </w:pPr>
      <w:r>
        <w:rPr>
          <w:sz w:val="22"/>
          <w:szCs w:val="22"/>
        </w:rPr>
        <w:t xml:space="preserve">Badges accumulated: Adoption Bridge Badge, Proof Seal, Foresight Strategist Badge.</w:t>
      </w:r>
    </w:p>
    <w:p>
      <w:pPr>
        <w:pStyle w:val="Heading2"/>
        <w:spacing w:after="160" w:before="280"/>
      </w:pPr>
      <w:r>
        <w:rPr>
          <w:b/>
          <w:bCs/>
          <w:color w:val="2E75B6"/>
          <w:sz w:val="28"/>
          <w:szCs w:val="28"/>
        </w:rPr>
        <w:t xml:space="preserve">Final Credential — Certified TenXPro</w:t>
      </w:r>
    </w:p>
    <w:p>
      <w:pPr>
        <w:spacing w:after="120" w:line="300"/>
        <w:jc w:val="left"/>
      </w:pPr>
      <w:r>
        <w:rPr>
          <w:sz w:val="22"/>
          <w:szCs w:val="22"/>
        </w:rPr>
        <w:t xml:space="preserve">Awarded after successful Capstone review of the complete Living AI Solution Dossier.</w:t>
      </w:r>
    </w:p>
    <w:p>
      <w:pPr>
        <w:spacing w:after="200"/>
      </w:pPr>
    </w:p>
    <w:p>
      <w:pPr>
        <w:spacing w:after="120" w:line="300"/>
        <w:jc w:val="left"/>
      </w:pPr>
      <w:r>
        <w:rPr>
          <w:sz w:val="22"/>
          <w:szCs w:val="22"/>
        </w:rPr>
        <w:t xml:space="preserve">Title: Certified TenXPro — AI-Ready Problem Solver, Responsible AI Solution Designer, and Strategic Foresight Practitioner.</w:t>
      </w:r>
    </w:p>
    <w:p>
      <w:pPr>
        <w:pStyle w:val="Heading2"/>
        <w:spacing w:after="160" w:before="280"/>
      </w:pPr>
      <w:r>
        <w:rPr>
          <w:b/>
          <w:bCs/>
          <w:color w:val="2E75B6"/>
          <w:sz w:val="28"/>
          <w:szCs w:val="28"/>
        </w:rPr>
        <w:t xml:space="preserve">Summary Table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2"/>
                <w:szCs w:val="22"/>
              </w:rPr>
              <w:t xml:space="preserve">Rank</w:t>
            </w:r>
          </w:p>
        </w:tc>
        <w:tc>
          <w:tcPr>
            <w:tcW w:type="dxa" w:w="358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2"/>
                <w:szCs w:val="22"/>
              </w:rPr>
              <w:t xml:space="preserve">Modules</w:t>
            </w:r>
          </w:p>
        </w:tc>
        <w:tc>
          <w:tcPr>
            <w:tcW w:type="dxa" w:w="358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2"/>
                <w:szCs w:val="22"/>
              </w:rPr>
              <w:t xml:space="preserve">Meaning</w:t>
            </w:r>
          </w:p>
        </w:tc>
      </w:tr>
      <w:tr>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Rank 1</w:t>
            </w:r>
          </w:p>
        </w:tc>
        <w:tc>
          <w:tcPr>
            <w:tcW w:type="dxa" w:w="358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Modules 1-4 (Frame)</w:t>
            </w:r>
          </w:p>
        </w:tc>
        <w:tc>
          <w:tcPr>
            <w:tcW w:type="dxa" w:w="358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AI-Ready Professional</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Rank 2</w:t>
            </w:r>
          </w:p>
        </w:tc>
        <w:tc>
          <w:tcPr>
            <w:tcW w:type="dxa" w:w="358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Modules 5-8 (Design)</w:t>
            </w:r>
          </w:p>
        </w:tc>
        <w:tc>
          <w:tcPr>
            <w:tcW w:type="dxa" w:w="358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AI Problem Solver &amp; Solution Designer</w:t>
            </w:r>
          </w:p>
        </w:tc>
      </w:tr>
      <w:tr>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Rank 3</w:t>
            </w:r>
          </w:p>
        </w:tc>
        <w:tc>
          <w:tcPr>
            <w:tcW w:type="dxa" w:w="358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Modules 9-11 (Prove + Foresee)</w:t>
            </w:r>
          </w:p>
        </w:tc>
        <w:tc>
          <w:tcPr>
            <w:tcW w:type="dxa" w:w="358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Future-Ready AI Solution Designer</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bCs/>
                <w:sz w:val="22"/>
                <w:szCs w:val="22"/>
              </w:rPr>
              <w:t xml:space="preserve">Final</w:t>
            </w:r>
          </w:p>
        </w:tc>
        <w:tc>
          <w:tcPr>
            <w:tcW w:type="dxa" w:w="358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bCs/>
                <w:sz w:val="22"/>
                <w:szCs w:val="22"/>
              </w:rPr>
              <w:t xml:space="preserve">Capstone Dossier</w:t>
            </w:r>
          </w:p>
        </w:tc>
        <w:tc>
          <w:tcPr>
            <w:tcW w:type="dxa" w:w="358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bCs/>
                <w:sz w:val="22"/>
                <w:szCs w:val="22"/>
              </w:rPr>
              <w:t xml:space="preserve">Certified TenXPro</w:t>
            </w:r>
          </w:p>
        </w:tc>
      </w:tr>
    </w:tbl>
    <w:p>
      <w:r>
        <w:br w:type="page"/>
      </w:r>
    </w:p>
    <w:p>
      <w:pPr>
        <w:pStyle w:val="Heading1"/>
        <w:spacing w:after="200" w:before="360"/>
      </w:pPr>
      <w:r>
        <w:rPr>
          <w:b/>
          <w:bCs/>
          <w:color w:val="1F4E79"/>
          <w:sz w:val="36"/>
          <w:szCs w:val="36"/>
        </w:rPr>
        <w:t xml:space="preserve">11. Adaptive Personalization: How the Path Is Tailored</w:t>
      </w:r>
    </w:p>
    <w:p>
      <w:pPr>
        <w:spacing w:after="120" w:line="300"/>
        <w:jc w:val="left"/>
      </w:pPr>
      <w:r>
        <w:rPr>
          <w:sz w:val="22"/>
          <w:szCs w:val="22"/>
        </w:rPr>
        <w:t xml:space="preserve">The promise of TenXPros is not generic content delivered the same way to everyone. It is a personalized path — a tailored journey built around the specific participant's field, problem, risks, AI literacy, time, output type, and goals.</w:t>
      </w:r>
    </w:p>
    <w:p>
      <w:pPr>
        <w:pStyle w:val="Heading2"/>
        <w:spacing w:after="160" w:before="280"/>
      </w:pPr>
      <w:r>
        <w:rPr>
          <w:b/>
          <w:bCs/>
          <w:color w:val="2E75B6"/>
          <w:sz w:val="28"/>
          <w:szCs w:val="28"/>
        </w:rPr>
        <w:t xml:space="preserve">The Personalization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EAF1F8" w:val="clear"/>
            <w:tcMar>
              <w:top w:type="dxa" w:w="200"/>
              <w:left w:type="dxa" w:w="280"/>
              <w:bottom w:type="dxa" w:w="200"/>
              <w:right w:type="dxa" w:w="280"/>
            </w:tcMar>
          </w:tcPr>
          <w:p>
            <w:pPr>
              <w:spacing w:after="100"/>
            </w:pPr>
            <w:r>
              <w:rPr>
                <w:b/>
                <w:bCs/>
                <w:color w:val="1F4E79"/>
                <w:sz w:val="24"/>
                <w:szCs w:val="24"/>
              </w:rPr>
              <w:t xml:space="preserve">How the path is built</w:t>
            </w:r>
          </w:p>
          <w:p>
            <w:pPr>
              <w:spacing w:after="0"/>
            </w:pPr>
            <w:r>
              <w:rPr>
                <w:color w:val="262626"/>
                <w:sz w:val="22"/>
                <w:szCs w:val="22"/>
              </w:rPr>
              <w:t xml:space="preserve">Personal TenXPro Path = Core Modules + Risk Profile + Domain Recognition + Solution Pattern + AI Literacy Level + Stakeholder Complexity + Industry Regulatory Weight + Time Availability + Output Type + Capstone</w:t>
            </w:r>
          </w:p>
        </w:tc>
      </w:tr>
    </w:tbl>
    <w:p>
      <w:pPr>
        <w:pStyle w:val="Heading2"/>
        <w:spacing w:after="160" w:before="280"/>
      </w:pPr>
      <w:r>
        <w:rPr>
          <w:b/>
          <w:bCs/>
          <w:color w:val="2E75B6"/>
          <w:sz w:val="28"/>
          <w:szCs w:val="28"/>
        </w:rPr>
        <w:t xml:space="preserve">What Stays the Same for Everyone</w:t>
      </w:r>
    </w:p>
    <w:p>
      <w:pPr>
        <w:pStyle w:val="ListParagraph"/>
        <w:numPr>
          <w:ilvl w:val="0"/>
          <w:numId w:val="2"/>
        </w:numPr>
        <w:spacing w:after="80" w:line="280"/>
      </w:pPr>
      <w:r>
        <w:rPr>
          <w:sz w:val="22"/>
          <w:szCs w:val="22"/>
        </w:rPr>
        <w:t xml:space="preserve">The same four phases: Frame, Design, Prove, Foresee.</w:t>
      </w:r>
    </w:p>
    <w:p>
      <w:pPr>
        <w:pStyle w:val="ListParagraph"/>
        <w:numPr>
          <w:ilvl w:val="0"/>
          <w:numId w:val="2"/>
        </w:numPr>
        <w:spacing w:after="80" w:line="280"/>
      </w:pPr>
      <w:r>
        <w:rPr>
          <w:sz w:val="22"/>
          <w:szCs w:val="22"/>
        </w:rPr>
        <w:t xml:space="preserve">The same eleven modules and required artifacts.</w:t>
      </w:r>
    </w:p>
    <w:p>
      <w:pPr>
        <w:pStyle w:val="ListParagraph"/>
        <w:numPr>
          <w:ilvl w:val="0"/>
          <w:numId w:val="2"/>
        </w:numPr>
        <w:spacing w:after="80" w:line="280"/>
      </w:pPr>
      <w:r>
        <w:rPr>
          <w:sz w:val="22"/>
          <w:szCs w:val="22"/>
        </w:rPr>
        <w:t xml:space="preserve">The same Living AI Solution Dossier structure.</w:t>
      </w:r>
    </w:p>
    <w:p>
      <w:pPr>
        <w:pStyle w:val="ListParagraph"/>
        <w:numPr>
          <w:ilvl w:val="0"/>
          <w:numId w:val="2"/>
        </w:numPr>
        <w:spacing w:after="80" w:line="280"/>
      </w:pPr>
      <w:r>
        <w:rPr>
          <w:sz w:val="22"/>
          <w:szCs w:val="22"/>
        </w:rPr>
        <w:t xml:space="preserve">The same certification standard.</w:t>
      </w:r>
    </w:p>
    <w:p>
      <w:pPr>
        <w:pStyle w:val="ListParagraph"/>
        <w:numPr>
          <w:ilvl w:val="0"/>
          <w:numId w:val="2"/>
        </w:numPr>
        <w:spacing w:after="80" w:line="280"/>
      </w:pPr>
      <w:r>
        <w:rPr>
          <w:sz w:val="22"/>
          <w:szCs w:val="22"/>
        </w:rPr>
        <w:t xml:space="preserve">The same coach-supported delivery model.</w:t>
      </w:r>
    </w:p>
    <w:p>
      <w:pPr>
        <w:pStyle w:val="Heading2"/>
        <w:spacing w:after="160" w:before="280"/>
      </w:pPr>
      <w:r>
        <w:rPr>
          <w:b/>
          <w:bCs/>
          <w:color w:val="2E75B6"/>
          <w:sz w:val="28"/>
          <w:szCs w:val="28"/>
        </w:rPr>
        <w:t xml:space="preserve">The Eight Customization Dimensions</w:t>
      </w:r>
    </w:p>
    <w:p>
      <w:pPr>
        <w:spacing w:after="120" w:line="300"/>
        <w:jc w:val="left"/>
      </w:pPr>
      <w:r>
        <w:rPr>
          <w:sz w:val="22"/>
          <w:szCs w:val="22"/>
        </w:rPr>
        <w:t xml:space="preserve">Based on the Diagnostic Intake, the participant's path is tailored across eight independent dimensions. Each dimension has multiple settings, and the combination is what makes every TenXPro journey distinct.</w:t>
      </w:r>
    </w:p>
    <w:p>
      <w:pPr>
        <w:pStyle w:val="Heading3"/>
        <w:spacing w:after="120" w:before="200"/>
      </w:pPr>
      <w:r>
        <w:rPr>
          <w:b/>
          <w:bCs/>
          <w:color w:val="404040"/>
          <w:sz w:val="24"/>
          <w:szCs w:val="24"/>
        </w:rPr>
        <w:t xml:space="preserve">Dimension 1: Risk Profile</w:t>
      </w:r>
    </w:p>
    <w:p>
      <w:pPr>
        <w:spacing w:after="120" w:line="300"/>
        <w:jc w:val="left"/>
      </w:pPr>
      <w:r>
        <w:rPr>
          <w:sz w:val="22"/>
          <w:szCs w:val="22"/>
        </w:rPr>
        <w:t xml:space="preserve">Assigned based on privacy, compliance, security, ethical, and professional liability exposure. Settings: low, moderate, high, critical.</w:t>
      </w:r>
    </w:p>
    <w:p>
      <w:pPr>
        <w:spacing w:after="120" w:line="300"/>
        <w:jc w:val="left"/>
      </w:pPr>
      <w:r>
        <w:rPr>
          <w:sz w:val="22"/>
          <w:szCs w:val="22"/>
        </w:rPr>
        <w:t xml:space="preserve">Effect: depth of Modules 3 and 8; risk emphasis in Capstone review; required Dossier sections on risk treatment.</w:t>
      </w:r>
    </w:p>
    <w:p>
      <w:pPr>
        <w:pStyle w:val="Heading3"/>
        <w:spacing w:after="120" w:before="200"/>
      </w:pPr>
      <w:r>
        <w:rPr>
          <w:b/>
          <w:bCs/>
          <w:color w:val="404040"/>
          <w:sz w:val="24"/>
          <w:szCs w:val="24"/>
        </w:rPr>
        <w:t xml:space="preserve">Dimension 2: Domain Recognition</w:t>
      </w:r>
    </w:p>
    <w:p>
      <w:pPr>
        <w:spacing w:after="120" w:line="300"/>
        <w:jc w:val="left"/>
      </w:pPr>
      <w:r>
        <w:rPr>
          <w:sz w:val="22"/>
          <w:szCs w:val="22"/>
        </w:rPr>
        <w:t xml:space="preserve">Assigned based on the participant's profession or industry. Categories: Consultant/Advisor/Strategist, Trainer/Educator, Manager/Operator, Founder/Independent, Researcher/Analyst, High-Accountability (healthcare/legal/finance/compliance), Public Sector/Institutional.</w:t>
      </w:r>
    </w:p>
    <w:p>
      <w:pPr>
        <w:spacing w:after="120" w:line="300"/>
        <w:jc w:val="left"/>
      </w:pPr>
      <w:r>
        <w:rPr>
          <w:sz w:val="22"/>
          <w:szCs w:val="22"/>
        </w:rPr>
        <w:t xml:space="preserve">Effect: examples, case discussions, and risk emphasis used by the coach throughout the participant's path. Domain adaptation is dynamic, not pre-built (see Section 12).</w:t>
      </w:r>
    </w:p>
    <w:p>
      <w:pPr>
        <w:pStyle w:val="Heading3"/>
        <w:spacing w:after="120" w:before="200"/>
      </w:pPr>
      <w:r>
        <w:rPr>
          <w:b/>
          <w:bCs/>
          <w:color w:val="404040"/>
          <w:sz w:val="24"/>
          <w:szCs w:val="24"/>
        </w:rPr>
        <w:t xml:space="preserve">Dimension 3: Solution Pattern</w:t>
      </w:r>
    </w:p>
    <w:p>
      <w:pPr>
        <w:spacing w:after="120" w:line="300"/>
        <w:jc w:val="left"/>
      </w:pPr>
      <w:r>
        <w:rPr>
          <w:sz w:val="22"/>
          <w:szCs w:val="22"/>
        </w:rPr>
        <w:t xml:space="preserve">Assigned based on the type of AI-enabled solution the participant's problem points toward. Patterns: AI Assistant, RAG/Knowledge System, Workflow Automation, Agentic Workflow, Decision-Support System, AI Research Workflow, AI Content Workflow, AI Analytics/Reporting Workflow, Multimodal AI Workflow, No-AI/Low-AI Solution.</w:t>
      </w:r>
    </w:p>
    <w:p>
      <w:pPr>
        <w:spacing w:after="120" w:line="300"/>
        <w:jc w:val="left"/>
      </w:pPr>
      <w:r>
        <w:rPr>
          <w:sz w:val="22"/>
          <w:szCs w:val="22"/>
        </w:rPr>
        <w:t xml:space="preserve">Effect: which solution-design materials and discussions are emphasized in Module 8; which patterns are highlighted in the Dossier.</w:t>
      </w:r>
    </w:p>
    <w:p>
      <w:pPr>
        <w:pStyle w:val="Heading3"/>
        <w:spacing w:after="120" w:before="200"/>
      </w:pPr>
      <w:r>
        <w:rPr>
          <w:b/>
          <w:bCs/>
          <w:color w:val="404040"/>
          <w:sz w:val="24"/>
          <w:szCs w:val="24"/>
        </w:rPr>
        <w:t xml:space="preserve">Dimension 4: AI Literacy Level</w:t>
      </w:r>
    </w:p>
    <w:p>
      <w:pPr>
        <w:spacing w:after="120" w:line="300"/>
        <w:jc w:val="left"/>
      </w:pPr>
      <w:r>
        <w:rPr>
          <w:sz w:val="22"/>
          <w:szCs w:val="22"/>
        </w:rPr>
        <w:t xml:space="preserve">Assigned based on the participant's prior AI experience. Settings: Beginner, Intermediate, Advanced.</w:t>
      </w:r>
    </w:p>
    <w:p>
      <w:pPr>
        <w:spacing w:after="120" w:line="300"/>
        <w:jc w:val="left"/>
      </w:pPr>
      <w:r>
        <w:rPr>
          <w:sz w:val="22"/>
          <w:szCs w:val="22"/>
        </w:rPr>
        <w:t xml:space="preserve">Effect: depth and pace of Module 2 (compressed for Advanced, extended for Beginner); hands-on tool fluency expectations; suggested supplementary practice.</w:t>
      </w:r>
    </w:p>
    <w:p>
      <w:pPr>
        <w:pStyle w:val="Heading3"/>
        <w:spacing w:after="120" w:before="200"/>
      </w:pPr>
      <w:r>
        <w:rPr>
          <w:b/>
          <w:bCs/>
          <w:color w:val="404040"/>
          <w:sz w:val="24"/>
          <w:szCs w:val="24"/>
        </w:rPr>
        <w:t xml:space="preserve">Dimension 5: Stakeholder Complexity</w:t>
      </w:r>
    </w:p>
    <w:p>
      <w:pPr>
        <w:spacing w:after="120" w:line="300"/>
        <w:jc w:val="left"/>
      </w:pPr>
      <w:r>
        <w:rPr>
          <w:sz w:val="22"/>
          <w:szCs w:val="22"/>
        </w:rPr>
        <w:t xml:space="preserve">Assigned based on the participant's working context. Settings: Solo, Small Team, Department, Multi-Stakeholder Organization.</w:t>
      </w:r>
    </w:p>
    <w:p>
      <w:pPr>
        <w:spacing w:after="120" w:line="300"/>
        <w:jc w:val="left"/>
      </w:pPr>
      <w:r>
        <w:rPr>
          <w:sz w:val="22"/>
          <w:szCs w:val="22"/>
        </w:rPr>
        <w:t xml:space="preserve">Effect: depth and emphasis of Module 9 (adoption); communication artifacts required in the Dossier.</w:t>
      </w:r>
    </w:p>
    <w:p>
      <w:pPr>
        <w:pStyle w:val="Heading3"/>
        <w:spacing w:after="120" w:before="200"/>
      </w:pPr>
      <w:r>
        <w:rPr>
          <w:b/>
          <w:bCs/>
          <w:color w:val="404040"/>
          <w:sz w:val="24"/>
          <w:szCs w:val="24"/>
        </w:rPr>
        <w:t xml:space="preserve">Dimension 6: Industry Regulatory Weight</w:t>
      </w:r>
    </w:p>
    <w:p>
      <w:pPr>
        <w:spacing w:after="120" w:line="300"/>
        <w:jc w:val="left"/>
      </w:pPr>
      <w:r>
        <w:rPr>
          <w:sz w:val="22"/>
          <w:szCs w:val="22"/>
        </w:rPr>
        <w:t xml:space="preserve">Assigned based on the regulatory weight of the participant's industry. Settings: Light, Moderate, Heavy.</w:t>
      </w:r>
    </w:p>
    <w:p>
      <w:pPr>
        <w:spacing w:after="120" w:line="300"/>
        <w:jc w:val="left"/>
      </w:pPr>
      <w:r>
        <w:rPr>
          <w:sz w:val="22"/>
          <w:szCs w:val="22"/>
        </w:rPr>
        <w:t xml:space="preserve">Effect: regulatory horizon depth in Modules 5 and 11; compliance-specific artifacts in the Dossier; expert review triggers.</w:t>
      </w:r>
    </w:p>
    <w:p>
      <w:pPr>
        <w:pStyle w:val="Heading3"/>
        <w:spacing w:after="120" w:before="200"/>
      </w:pPr>
      <w:r>
        <w:rPr>
          <w:b/>
          <w:bCs/>
          <w:color w:val="404040"/>
          <w:sz w:val="24"/>
          <w:szCs w:val="24"/>
        </w:rPr>
        <w:t xml:space="preserve">Dimension 7: Time Availability</w:t>
      </w:r>
    </w:p>
    <w:p>
      <w:pPr>
        <w:spacing w:after="120" w:line="300"/>
        <w:jc w:val="left"/>
      </w:pPr>
      <w:r>
        <w:rPr>
          <w:sz w:val="22"/>
          <w:szCs w:val="22"/>
        </w:rPr>
        <w:t xml:space="preserve">Assigned based on the participant's stated weekly availability. Settings: 5 hrs/week, 8 hrs/week, 12+ hrs/week.</w:t>
      </w:r>
    </w:p>
    <w:p>
      <w:pPr>
        <w:spacing w:after="120" w:line="300"/>
        <w:jc w:val="left"/>
      </w:pPr>
      <w:r>
        <w:rPr>
          <w:sz w:val="22"/>
          <w:szCs w:val="22"/>
        </w:rPr>
        <w:t xml:space="preserve">Effect: pacing of module unlocks; suggested deadlines; coach engagement rhythm.</w:t>
      </w:r>
    </w:p>
    <w:p>
      <w:pPr>
        <w:pStyle w:val="Heading3"/>
        <w:spacing w:after="120" w:before="200"/>
      </w:pPr>
      <w:r>
        <w:rPr>
          <w:b/>
          <w:bCs/>
          <w:color w:val="404040"/>
          <w:sz w:val="24"/>
          <w:szCs w:val="24"/>
        </w:rPr>
        <w:t xml:space="preserve">Dimension 8: Output Type</w:t>
      </w:r>
    </w:p>
    <w:p>
      <w:pPr>
        <w:spacing w:after="120" w:line="300"/>
        <w:jc w:val="left"/>
      </w:pPr>
      <w:r>
        <w:rPr>
          <w:sz w:val="22"/>
          <w:szCs w:val="22"/>
        </w:rPr>
        <w:t xml:space="preserve">Assigned based on how the participant's final work will be used. Settings: Internal Use, Client-Facing, Public-Facing, Regulated/Audited.</w:t>
      </w:r>
    </w:p>
    <w:p>
      <w:pPr>
        <w:spacing w:after="120" w:line="300"/>
        <w:jc w:val="left"/>
      </w:pPr>
      <w:r>
        <w:rPr>
          <w:sz w:val="22"/>
          <w:szCs w:val="22"/>
        </w:rPr>
        <w:t xml:space="preserve">Effect: presentation polish required in Dossier; defense rigor in Capstone review; emphasis on documentation discipline.</w:t>
      </w:r>
    </w:p>
    <w:p>
      <w:pPr>
        <w:pStyle w:val="Heading2"/>
        <w:spacing w:after="160" w:before="280"/>
      </w:pPr>
      <w:r>
        <w:rPr>
          <w:b/>
          <w:bCs/>
          <w:color w:val="2E75B6"/>
          <w:sz w:val="28"/>
          <w:szCs w:val="28"/>
        </w:rPr>
        <w:t xml:space="preserve">How the Adaptation Is Delivered</w:t>
      </w:r>
    </w:p>
    <w:p>
      <w:pPr>
        <w:pStyle w:val="ListParagraph"/>
        <w:numPr>
          <w:ilvl w:val="0"/>
          <w:numId w:val="3"/>
        </w:numPr>
        <w:spacing w:after="80" w:line="280"/>
      </w:pPr>
      <w:r>
        <w:rPr>
          <w:sz w:val="22"/>
          <w:szCs w:val="22"/>
        </w:rPr>
        <w:t xml:space="preserve">Pre-built variants: the master module library contains multiple variants of each module, so the right variant is delivered based on diagnostic signals.</w:t>
      </w:r>
    </w:p>
    <w:p>
      <w:pPr>
        <w:pStyle w:val="ListParagraph"/>
        <w:numPr>
          <w:ilvl w:val="0"/>
          <w:numId w:val="3"/>
        </w:numPr>
        <w:spacing w:after="80" w:line="280"/>
      </w:pPr>
      <w:r>
        <w:rPr>
          <w:sz w:val="22"/>
          <w:szCs w:val="22"/>
        </w:rPr>
        <w:t xml:space="preserve">AI-personalized examples and exercises: example scenarios, practice prompts, and reflection questions are tailored to the participant's stated domain and problem.</w:t>
      </w:r>
    </w:p>
    <w:p>
      <w:pPr>
        <w:pStyle w:val="ListParagraph"/>
        <w:numPr>
          <w:ilvl w:val="0"/>
          <w:numId w:val="3"/>
        </w:numPr>
        <w:spacing w:after="80" w:line="280"/>
      </w:pPr>
      <w:r>
        <w:rPr>
          <w:sz w:val="22"/>
          <w:szCs w:val="22"/>
        </w:rPr>
        <w:t xml:space="preserve">Coach refinement: the assigned coach reviews the Diagnostic Intake and refines the path before it begins. This human step is what prevents adaptation from feeling algorithmic and ensures the path actually fits.</w:t>
      </w:r>
    </w:p>
    <w:p>
      <w:pPr>
        <w:pStyle w:val="Heading2"/>
        <w:spacing w:after="160" w:before="280"/>
      </w:pPr>
      <w:r>
        <w:rPr>
          <w:b/>
          <w:bCs/>
          <w:color w:val="2E75B6"/>
          <w:sz w:val="28"/>
          <w:szCs w:val="28"/>
        </w:rPr>
        <w:t xml:space="preserve">What This Looks Like in Practice</w:t>
      </w:r>
    </w:p>
    <w:p>
      <w:pPr>
        <w:spacing w:after="120" w:line="300"/>
        <w:jc w:val="left"/>
      </w:pPr>
      <w:r>
        <w:rPr>
          <w:sz w:val="22"/>
          <w:szCs w:val="22"/>
        </w:rPr>
        <w:t xml:space="preserve">Two participants enter the program. Both pass the same eleven modules. Both produce a Dossier. Both face the same certification standard. But:</w:t>
      </w:r>
    </w:p>
    <w:p>
      <w:pPr>
        <w:spacing w:after="200"/>
      </w:pPr>
    </w:p>
    <w:p>
      <w:pPr>
        <w:spacing w:after="120" w:line="300"/>
        <w:jc w:val="left"/>
      </w:pPr>
      <w:r>
        <w:rPr>
          <w:sz w:val="22"/>
          <w:szCs w:val="22"/>
        </w:rPr>
        <w:t xml:space="preserve">Participant A is a healthcare professional with critical risk profile, heavy regulatory weight, intermediate AI literacy, multi-stakeholder context, 8 hrs/week availability, and regulated output.</w:t>
      </w:r>
    </w:p>
    <w:p>
      <w:pPr>
        <w:spacing w:after="200"/>
      </w:pPr>
    </w:p>
    <w:p>
      <w:pPr>
        <w:spacing w:after="120" w:line="300"/>
        <w:jc w:val="left"/>
      </w:pPr>
      <w:r>
        <w:rPr>
          <w:sz w:val="22"/>
          <w:szCs w:val="22"/>
        </w:rPr>
        <w:t xml:space="preserve">Participant B is a solo consultant with moderate risk, light regulatory weight, advanced AI literacy, solo context, 12+ hrs/week availability, and client-facing output.</w:t>
      </w:r>
    </w:p>
    <w:p>
      <w:pPr>
        <w:spacing w:after="200"/>
      </w:pPr>
    </w:p>
    <w:p>
      <w:pPr>
        <w:spacing w:after="120" w:line="300"/>
        <w:jc w:val="left"/>
      </w:pPr>
      <w:r>
        <w:rPr>
          <w:sz w:val="22"/>
          <w:szCs w:val="22"/>
        </w:rPr>
        <w:t xml:space="preserve">Same framework. Same gates. Same standard. Completely different journey. That is the meaning of adaptive.</w:t>
      </w:r>
    </w:p>
    <w:p>
      <w:r>
        <w:br w:type="page"/>
      </w:r>
    </w:p>
    <w:p>
      <w:pPr>
        <w:pStyle w:val="Heading1"/>
        <w:spacing w:after="200" w:before="360"/>
      </w:pPr>
      <w:r>
        <w:rPr>
          <w:b/>
          <w:bCs/>
          <w:color w:val="1F4E79"/>
          <w:sz w:val="36"/>
          <w:szCs w:val="36"/>
        </w:rPr>
        <w:t xml:space="preserve">12. Domain Adaptation: The Dynamic Approach</w:t>
      </w:r>
    </w:p>
    <w:p>
      <w:pPr>
        <w:spacing w:after="120" w:line="300"/>
        <w:jc w:val="left"/>
      </w:pPr>
      <w:r>
        <w:rPr>
          <w:sz w:val="22"/>
          <w:szCs w:val="22"/>
        </w:rPr>
        <w:t xml:space="preserve">TenXPros does not launch with a fixed library of domain-specific course packs. This is a deliberate, strategic decision. The program operates on a core methodology that is genuinely cross-domain, and domain adaptation happens dynamically — during the participant's actual journey, based on their actual problem, with their actual coach.</w:t>
      </w:r>
    </w:p>
    <w:p>
      <w:pPr>
        <w:pStyle w:val="Heading2"/>
        <w:spacing w:after="160" w:before="280"/>
      </w:pPr>
      <w:r>
        <w:rPr>
          <w:b/>
          <w:bCs/>
          <w:color w:val="2E75B6"/>
          <w:sz w:val="28"/>
          <w:szCs w:val="28"/>
        </w:rPr>
        <w:t xml:space="preserve">Why Dynamic Adaptation, Not Pre-Built Packs</w:t>
      </w:r>
    </w:p>
    <w:p>
      <w:pPr>
        <w:spacing w:after="120" w:line="300"/>
        <w:jc w:val="left"/>
      </w:pPr>
      <w:r>
        <w:rPr>
          <w:sz w:val="22"/>
          <w:szCs w:val="22"/>
        </w:rPr>
        <w:t xml:space="preserve">A program that ships with six or twelve pre-built domain packs faces three problems:</w:t>
      </w:r>
    </w:p>
    <w:p>
      <w:pPr>
        <w:pStyle w:val="ListParagraph"/>
        <w:numPr>
          <w:ilvl w:val="0"/>
          <w:numId w:val="3"/>
        </w:numPr>
        <w:spacing w:after="80" w:line="280"/>
      </w:pPr>
      <w:r>
        <w:rPr>
          <w:sz w:val="22"/>
          <w:szCs w:val="22"/>
        </w:rPr>
        <w:t xml:space="preserve">Building rich, credible content for many domains before any paid participants exist is a major resource investment with uncertain return.</w:t>
      </w:r>
    </w:p>
    <w:p>
      <w:pPr>
        <w:pStyle w:val="ListParagraph"/>
        <w:numPr>
          <w:ilvl w:val="0"/>
          <w:numId w:val="3"/>
        </w:numPr>
        <w:spacing w:after="80" w:line="280"/>
      </w:pPr>
      <w:r>
        <w:rPr>
          <w:sz w:val="22"/>
          <w:szCs w:val="22"/>
        </w:rPr>
        <w:t xml:space="preserve">Pre-built packs encode the founder's assumptions about each domain rather than responding to what real participants actually bring.</w:t>
      </w:r>
    </w:p>
    <w:p>
      <w:pPr>
        <w:pStyle w:val="ListParagraph"/>
        <w:numPr>
          <w:ilvl w:val="0"/>
          <w:numId w:val="3"/>
        </w:numPr>
        <w:spacing w:after="80" w:line="280"/>
      </w:pPr>
      <w:r>
        <w:rPr>
          <w:sz w:val="22"/>
          <w:szCs w:val="22"/>
        </w:rPr>
        <w:t xml:space="preserve">A static library cannot keep pace with how rapidly AI capabilities and domain practices evolve.</w:t>
      </w:r>
    </w:p>
    <w:p>
      <w:pPr>
        <w:spacing w:after="200"/>
      </w:pPr>
    </w:p>
    <w:p>
      <w:pPr>
        <w:spacing w:after="120" w:line="300"/>
        <w:jc w:val="left"/>
      </w:pPr>
      <w:r>
        <w:rPr>
          <w:sz w:val="22"/>
          <w:szCs w:val="22"/>
        </w:rPr>
        <w:t xml:space="preserve">Dynamic adaptation reverses these problems. The methodology is universal. The examples, case discussions, and risk emphasis emerge from real participant work. Over time, anonymized patterns build a library that is grounded in real cases — not in pre-launch guesses.</w:t>
      </w:r>
    </w:p>
    <w:p>
      <w:pPr>
        <w:pStyle w:val="Heading2"/>
        <w:spacing w:after="160" w:before="280"/>
      </w:pPr>
      <w:r>
        <w:rPr>
          <w:b/>
          <w:bCs/>
          <w:color w:val="2E75B6"/>
          <w:sz w:val="28"/>
          <w:szCs w:val="28"/>
        </w:rPr>
        <w:t xml:space="preserve">What Is Universal Across All Domains</w:t>
      </w:r>
    </w:p>
    <w:p>
      <w:pPr>
        <w:spacing w:after="120" w:line="300"/>
        <w:jc w:val="left"/>
      </w:pPr>
      <w:r>
        <w:rPr>
          <w:sz w:val="22"/>
          <w:szCs w:val="22"/>
        </w:rPr>
        <w:t xml:space="preserve">Every TenXPros participant — regardless of field — works through the same architecture:</w:t>
      </w:r>
    </w:p>
    <w:p>
      <w:pPr>
        <w:pStyle w:val="ListParagraph"/>
        <w:numPr>
          <w:ilvl w:val="0"/>
          <w:numId w:val="2"/>
        </w:numPr>
        <w:spacing w:after="80" w:line="280"/>
      </w:pPr>
      <w:r>
        <w:rPr>
          <w:sz w:val="22"/>
          <w:szCs w:val="22"/>
        </w:rPr>
        <w:t xml:space="preserve">The four phases: Frame, Design, Prove, Foresee.</w:t>
      </w:r>
    </w:p>
    <w:p>
      <w:pPr>
        <w:pStyle w:val="ListParagraph"/>
        <w:numPr>
          <w:ilvl w:val="0"/>
          <w:numId w:val="2"/>
        </w:numPr>
        <w:spacing w:after="80" w:line="280"/>
      </w:pPr>
      <w:r>
        <w:rPr>
          <w:sz w:val="22"/>
          <w:szCs w:val="22"/>
        </w:rPr>
        <w:t xml:space="preserve">The eleven modules with their required artifacts.</w:t>
      </w:r>
    </w:p>
    <w:p>
      <w:pPr>
        <w:pStyle w:val="ListParagraph"/>
        <w:numPr>
          <w:ilvl w:val="0"/>
          <w:numId w:val="2"/>
        </w:numPr>
        <w:spacing w:after="80" w:line="280"/>
      </w:pPr>
      <w:r>
        <w:rPr>
          <w:sz w:val="22"/>
          <w:szCs w:val="22"/>
        </w:rPr>
        <w:t xml:space="preserve">The same Living AI Solution Dossier structure.</w:t>
      </w:r>
    </w:p>
    <w:p>
      <w:pPr>
        <w:pStyle w:val="ListParagraph"/>
        <w:numPr>
          <w:ilvl w:val="0"/>
          <w:numId w:val="2"/>
        </w:numPr>
        <w:spacing w:after="80" w:line="280"/>
      </w:pPr>
      <w:r>
        <w:rPr>
          <w:sz w:val="22"/>
          <w:szCs w:val="22"/>
        </w:rPr>
        <w:t xml:space="preserve">The same certification standard.</w:t>
      </w:r>
    </w:p>
    <w:p>
      <w:pPr>
        <w:pStyle w:val="ListParagraph"/>
        <w:numPr>
          <w:ilvl w:val="0"/>
          <w:numId w:val="2"/>
        </w:numPr>
        <w:spacing w:after="80" w:line="280"/>
      </w:pPr>
      <w:r>
        <w:rPr>
          <w:sz w:val="22"/>
          <w:szCs w:val="22"/>
        </w:rPr>
        <w:t xml:space="preserve">The same Capstone review process.</w:t>
      </w:r>
    </w:p>
    <w:p>
      <w:pPr>
        <w:pStyle w:val="ListParagraph"/>
        <w:numPr>
          <w:ilvl w:val="0"/>
          <w:numId w:val="2"/>
        </w:numPr>
        <w:spacing w:after="80" w:line="280"/>
      </w:pPr>
      <w:r>
        <w:rPr>
          <w:sz w:val="22"/>
          <w:szCs w:val="22"/>
        </w:rPr>
        <w:t xml:space="preserve">The same eight customization dimensions in the Diagnostic Intake.</w:t>
      </w:r>
    </w:p>
    <w:p>
      <w:pPr>
        <w:pStyle w:val="Heading2"/>
        <w:spacing w:after="160" w:before="280"/>
      </w:pPr>
      <w:r>
        <w:rPr>
          <w:b/>
          <w:bCs/>
          <w:color w:val="2E75B6"/>
          <w:sz w:val="28"/>
          <w:szCs w:val="28"/>
        </w:rPr>
        <w:t xml:space="preserve">What Adapts Dynamically per Participant</w:t>
      </w:r>
    </w:p>
    <w:p>
      <w:pPr>
        <w:pStyle w:val="ListParagraph"/>
        <w:numPr>
          <w:ilvl w:val="0"/>
          <w:numId w:val="2"/>
        </w:numPr>
        <w:spacing w:after="80" w:line="280"/>
      </w:pPr>
      <w:r>
        <w:rPr>
          <w:sz w:val="22"/>
          <w:szCs w:val="22"/>
        </w:rPr>
        <w:t xml:space="preserve">Examples and analogies used by the coach during feedback.</w:t>
      </w:r>
    </w:p>
    <w:p>
      <w:pPr>
        <w:pStyle w:val="ListParagraph"/>
        <w:numPr>
          <w:ilvl w:val="0"/>
          <w:numId w:val="2"/>
        </w:numPr>
        <w:spacing w:after="80" w:line="280"/>
      </w:pPr>
      <w:r>
        <w:rPr>
          <w:sz w:val="22"/>
          <w:szCs w:val="22"/>
        </w:rPr>
        <w:t xml:space="preserve">Risk emphasis based on the participant's exposure profile.</w:t>
      </w:r>
    </w:p>
    <w:p>
      <w:pPr>
        <w:pStyle w:val="ListParagraph"/>
        <w:numPr>
          <w:ilvl w:val="0"/>
          <w:numId w:val="2"/>
        </w:numPr>
        <w:spacing w:after="80" w:line="280"/>
      </w:pPr>
      <w:r>
        <w:rPr>
          <w:sz w:val="22"/>
          <w:szCs w:val="22"/>
        </w:rPr>
        <w:t xml:space="preserve">Solution pattern depth based on the participant's hypothesized solution.</w:t>
      </w:r>
    </w:p>
    <w:p>
      <w:pPr>
        <w:pStyle w:val="ListParagraph"/>
        <w:numPr>
          <w:ilvl w:val="0"/>
          <w:numId w:val="2"/>
        </w:numPr>
        <w:spacing w:after="80" w:line="280"/>
      </w:pPr>
      <w:r>
        <w:rPr>
          <w:sz w:val="22"/>
          <w:szCs w:val="22"/>
        </w:rPr>
        <w:t xml:space="preserve">Regulatory horizon focus based on the participant's industry.</w:t>
      </w:r>
    </w:p>
    <w:p>
      <w:pPr>
        <w:pStyle w:val="ListParagraph"/>
        <w:numPr>
          <w:ilvl w:val="0"/>
          <w:numId w:val="2"/>
        </w:numPr>
        <w:spacing w:after="80" w:line="280"/>
      </w:pPr>
      <w:r>
        <w:rPr>
          <w:sz w:val="22"/>
          <w:szCs w:val="22"/>
        </w:rPr>
        <w:t xml:space="preserve">Stakeholder communication examples based on the participant's organizational context.</w:t>
      </w:r>
    </w:p>
    <w:p>
      <w:pPr>
        <w:pStyle w:val="ListParagraph"/>
        <w:numPr>
          <w:ilvl w:val="0"/>
          <w:numId w:val="2"/>
        </w:numPr>
        <w:spacing w:after="80" w:line="280"/>
      </w:pPr>
      <w:r>
        <w:rPr>
          <w:sz w:val="22"/>
          <w:szCs w:val="22"/>
        </w:rPr>
        <w:t xml:space="preserve">Foresight scenarios based on the participant's domain trajectory.</w:t>
      </w:r>
    </w:p>
    <w:p>
      <w:pPr>
        <w:pStyle w:val="Heading2"/>
        <w:spacing w:after="160" w:before="280"/>
      </w:pPr>
      <w:r>
        <w:rPr>
          <w:b/>
          <w:bCs/>
          <w:color w:val="2E75B6"/>
          <w:sz w:val="28"/>
          <w:szCs w:val="28"/>
        </w:rPr>
        <w:t xml:space="preserve">How the Library Grows Over Time</w:t>
      </w:r>
    </w:p>
    <w:p>
      <w:pPr>
        <w:spacing w:after="120" w:line="300"/>
        <w:jc w:val="left"/>
      </w:pPr>
      <w:r>
        <w:rPr>
          <w:sz w:val="22"/>
          <w:szCs w:val="22"/>
        </w:rPr>
        <w:t xml:space="preserve">As cohorts complete the program, anonymized patterns from real Dossiers — with explicit consent and confidentiality safeguards — feed into a growing library of:</w:t>
      </w:r>
    </w:p>
    <w:p>
      <w:pPr>
        <w:pStyle w:val="ListParagraph"/>
        <w:numPr>
          <w:ilvl w:val="0"/>
          <w:numId w:val="2"/>
        </w:numPr>
        <w:spacing w:after="80" w:line="280"/>
      </w:pPr>
      <w:r>
        <w:rPr>
          <w:sz w:val="22"/>
          <w:szCs w:val="22"/>
        </w:rPr>
        <w:t xml:space="preserve">Domain-specific case studies.</w:t>
      </w:r>
    </w:p>
    <w:p>
      <w:pPr>
        <w:pStyle w:val="ListParagraph"/>
        <w:numPr>
          <w:ilvl w:val="0"/>
          <w:numId w:val="2"/>
        </w:numPr>
        <w:spacing w:after="80" w:line="280"/>
      </w:pPr>
      <w:r>
        <w:rPr>
          <w:sz w:val="22"/>
          <w:szCs w:val="22"/>
        </w:rPr>
        <w:t xml:space="preserve">Risk patterns by field.</w:t>
      </w:r>
    </w:p>
    <w:p>
      <w:pPr>
        <w:pStyle w:val="ListParagraph"/>
        <w:numPr>
          <w:ilvl w:val="0"/>
          <w:numId w:val="2"/>
        </w:numPr>
        <w:spacing w:after="80" w:line="280"/>
      </w:pPr>
      <w:r>
        <w:rPr>
          <w:sz w:val="22"/>
          <w:szCs w:val="22"/>
        </w:rPr>
        <w:t xml:space="preserve">Solution patterns by problem type.</w:t>
      </w:r>
    </w:p>
    <w:p>
      <w:pPr>
        <w:pStyle w:val="ListParagraph"/>
        <w:numPr>
          <w:ilvl w:val="0"/>
          <w:numId w:val="2"/>
        </w:numPr>
        <w:spacing w:after="80" w:line="280"/>
      </w:pPr>
      <w:r>
        <w:rPr>
          <w:sz w:val="22"/>
          <w:szCs w:val="22"/>
        </w:rPr>
        <w:t xml:space="preserve">Adoption stories by stakeholder context.</w:t>
      </w:r>
    </w:p>
    <w:p>
      <w:pPr>
        <w:pStyle w:val="ListParagraph"/>
        <w:numPr>
          <w:ilvl w:val="0"/>
          <w:numId w:val="2"/>
        </w:numPr>
        <w:spacing w:after="80" w:line="280"/>
      </w:pPr>
      <w:r>
        <w:rPr>
          <w:sz w:val="22"/>
          <w:szCs w:val="22"/>
        </w:rPr>
        <w:t xml:space="preserve">Foresight scenarios by industry.</w:t>
      </w:r>
    </w:p>
    <w:p>
      <w:pPr>
        <w:spacing w:after="200"/>
      </w:pPr>
    </w:p>
    <w:p>
      <w:pPr>
        <w:spacing w:after="120" w:line="300"/>
        <w:jc w:val="left"/>
      </w:pPr>
      <w:r>
        <w:rPr>
          <w:sz w:val="22"/>
          <w:szCs w:val="22"/>
        </w:rPr>
        <w:t xml:space="preserve">This library is a compounding asset. Each cohort makes the next cohort's experience richer. After 30-50 graduates, the library begins to function as the equivalent of pre-built domain packs — but built on real cases, not assumptions.</w:t>
      </w:r>
    </w:p>
    <w:p>
      <w:pPr>
        <w:pStyle w:val="Heading2"/>
        <w:spacing w:after="160" w:before="280"/>
      </w:pPr>
      <w:r>
        <w:rPr>
          <w:b/>
          <w:bCs/>
          <w:color w:val="2E75B6"/>
          <w:sz w:val="28"/>
          <w:szCs w:val="28"/>
        </w:rPr>
        <w:t xml:space="preserve">How This Is Communicated Publicly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FFF4E5" w:val="clear"/>
            <w:tcMar>
              <w:top w:type="dxa" w:w="200"/>
              <w:left w:type="dxa" w:w="280"/>
              <w:bottom w:type="dxa" w:w="200"/>
              <w:right w:type="dxa" w:w="280"/>
            </w:tcMar>
          </w:tcPr>
          <w:p>
            <w:pPr>
              <w:spacing w:after="100"/>
            </w:pPr>
            <w:r>
              <w:rPr>
                <w:b/>
                <w:bCs/>
                <w:color w:val="1F4E79"/>
                <w:sz w:val="24"/>
                <w:szCs w:val="24"/>
              </w:rPr>
              <w:t xml:space="preserve">Public language for domain adaptation</w:t>
            </w:r>
          </w:p>
          <w:p>
            <w:pPr>
              <w:spacing w:after="0"/>
            </w:pPr>
            <w:r>
              <w:rPr>
                <w:color w:val="262626"/>
                <w:sz w:val="22"/>
                <w:szCs w:val="22"/>
              </w:rPr>
              <w:t xml:space="preserve">TenXPros adapts to your domain. Your coach guides you through examples, risks, and patterns relevant to your field, and the program's methodology is built to work across consulting, education, management, healthcare, legal, finance, research, founding, and beyond. As our community grows, the library of cases, patterns, and frameworks deepens — and every participant benefits from the work of those who came before.</w:t>
            </w:r>
          </w:p>
        </w:tc>
      </w:tr>
    </w:tbl>
    <w:p>
      <w:pPr>
        <w:pStyle w:val="Heading2"/>
        <w:spacing w:after="160" w:before="280"/>
      </w:pPr>
      <w:r>
        <w:rPr>
          <w:b/>
          <w:bCs/>
          <w:color w:val="2E75B6"/>
          <w:sz w:val="28"/>
          <w:szCs w:val="28"/>
        </w:rPr>
        <w:t xml:space="preserve">Recognized Professional Categories</w:t>
      </w:r>
    </w:p>
    <w:p>
      <w:pPr>
        <w:spacing w:after="120" w:line="300"/>
        <w:jc w:val="left"/>
      </w:pPr>
      <w:r>
        <w:rPr>
          <w:sz w:val="22"/>
          <w:szCs w:val="22"/>
        </w:rPr>
        <w:t xml:space="preserve">While there is no pre-built pack, TenXPros recognizes the following professional categories during admission and Diagnostic Intake. The coach uses these as orientation for the adaptive work:</w:t>
      </w:r>
    </w:p>
    <w:p>
      <w:pPr>
        <w:pStyle w:val="ListParagraph"/>
        <w:numPr>
          <w:ilvl w:val="0"/>
          <w:numId w:val="2"/>
        </w:numPr>
        <w:spacing w:after="80" w:line="280"/>
      </w:pPr>
      <w:r>
        <w:rPr>
          <w:sz w:val="22"/>
          <w:szCs w:val="22"/>
        </w:rPr>
        <w:t xml:space="preserve">Consultants, advisors, strategists.</w:t>
      </w:r>
    </w:p>
    <w:p>
      <w:pPr>
        <w:pStyle w:val="ListParagraph"/>
        <w:numPr>
          <w:ilvl w:val="0"/>
          <w:numId w:val="2"/>
        </w:numPr>
        <w:spacing w:after="80" w:line="280"/>
      </w:pPr>
      <w:r>
        <w:rPr>
          <w:sz w:val="22"/>
          <w:szCs w:val="22"/>
        </w:rPr>
        <w:t xml:space="preserve">Trainers, educators, instructional designers.</w:t>
      </w:r>
    </w:p>
    <w:p>
      <w:pPr>
        <w:pStyle w:val="ListParagraph"/>
        <w:numPr>
          <w:ilvl w:val="0"/>
          <w:numId w:val="2"/>
        </w:numPr>
        <w:spacing w:after="80" w:line="280"/>
      </w:pPr>
      <w:r>
        <w:rPr>
          <w:sz w:val="22"/>
          <w:szCs w:val="22"/>
        </w:rPr>
        <w:t xml:space="preserve">Managers, operators, team leads.</w:t>
      </w:r>
    </w:p>
    <w:p>
      <w:pPr>
        <w:pStyle w:val="ListParagraph"/>
        <w:numPr>
          <w:ilvl w:val="0"/>
          <w:numId w:val="2"/>
        </w:numPr>
        <w:spacing w:after="80" w:line="280"/>
      </w:pPr>
      <w:r>
        <w:rPr>
          <w:sz w:val="22"/>
          <w:szCs w:val="22"/>
        </w:rPr>
        <w:t xml:space="preserve">Founders, business owners, independent professionals.</w:t>
      </w:r>
    </w:p>
    <w:p>
      <w:pPr>
        <w:pStyle w:val="ListParagraph"/>
        <w:numPr>
          <w:ilvl w:val="0"/>
          <w:numId w:val="2"/>
        </w:numPr>
        <w:spacing w:after="80" w:line="280"/>
      </w:pPr>
      <w:r>
        <w:rPr>
          <w:sz w:val="22"/>
          <w:szCs w:val="22"/>
        </w:rPr>
        <w:t xml:space="preserve">Researchers, analysts, knowledge workers.</w:t>
      </w:r>
    </w:p>
    <w:p>
      <w:pPr>
        <w:pStyle w:val="ListParagraph"/>
        <w:numPr>
          <w:ilvl w:val="0"/>
          <w:numId w:val="2"/>
        </w:numPr>
        <w:spacing w:after="80" w:line="280"/>
      </w:pPr>
      <w:r>
        <w:rPr>
          <w:sz w:val="22"/>
          <w:szCs w:val="22"/>
        </w:rPr>
        <w:t xml:space="preserve">High-accountability professionals (healthcare, legal, finance, compliance) — admitted with extra attention to risk and required external review.</w:t>
      </w:r>
    </w:p>
    <w:p>
      <w:pPr>
        <w:pStyle w:val="ListParagraph"/>
        <w:numPr>
          <w:ilvl w:val="0"/>
          <w:numId w:val="2"/>
        </w:numPr>
        <w:spacing w:after="80" w:line="280"/>
      </w:pPr>
      <w:r>
        <w:rPr>
          <w:sz w:val="22"/>
          <w:szCs w:val="22"/>
        </w:rPr>
        <w:t xml:space="preserve">Public sector, nonprofit, and institutional professionals.</w:t>
      </w:r>
    </w:p>
    <w:p>
      <w:pPr>
        <w:pStyle w:val="Heading2"/>
        <w:spacing w:after="160" w:before="280"/>
      </w:pPr>
      <w:r>
        <w:rPr>
          <w:b/>
          <w:bCs/>
          <w:color w:val="2E75B6"/>
          <w:sz w:val="28"/>
          <w:szCs w:val="28"/>
        </w:rPr>
        <w:t xml:space="preserve">A Note on High-Accountability Domains</w:t>
      </w:r>
    </w:p>
    <w:p>
      <w:pPr>
        <w:spacing w:after="120" w:line="300"/>
        <w:jc w:val="left"/>
      </w:pPr>
      <w:r>
        <w:rPr>
          <w:sz w:val="22"/>
          <w:szCs w:val="22"/>
        </w:rPr>
        <w:t xml:space="preserve">For professionals in healthcare, legal, finance, and compliance contexts, the program applies elevated discipline: deeper risk treatment in Modules 3 and 8, expanded human oversight design, mandatory expert review triggers, and Capstone review that includes domain-specific risk validation. The coach explicitly flags areas where the participant's work requires consultation with a licensed professional in their field — TenXPros provides AI methodology, not domain professional advice.</w:t>
      </w:r>
    </w:p>
    <w:p>
      <w:r>
        <w:br w:type="page"/>
      </w:r>
    </w:p>
    <w:p>
      <w:pPr>
        <w:pStyle w:val="Heading1"/>
        <w:spacing w:after="200" w:before="360"/>
      </w:pPr>
      <w:r>
        <w:rPr>
          <w:b/>
          <w:bCs/>
          <w:color w:val="1F4E79"/>
          <w:sz w:val="36"/>
          <w:szCs w:val="36"/>
        </w:rPr>
        <w:t xml:space="preserve">13. The Living AI Solution Dossier</w:t>
      </w:r>
    </w:p>
    <w:p>
      <w:pPr>
        <w:pStyle w:val="Heading2"/>
        <w:spacing w:after="160" w:before="280"/>
      </w:pPr>
      <w:r>
        <w:rPr>
          <w:b/>
          <w:bCs/>
          <w:color w:val="2E75B6"/>
          <w:sz w:val="28"/>
          <w:szCs w:val="28"/>
        </w:rPr>
        <w:t xml:space="preserve">What the Dossier Is</w:t>
      </w:r>
    </w:p>
    <w:p>
      <w:pPr>
        <w:spacing w:after="120" w:line="300"/>
        <w:jc w:val="left"/>
      </w:pPr>
      <w:r>
        <w:rPr>
          <w:sz w:val="22"/>
          <w:szCs w:val="22"/>
        </w:rPr>
        <w:t xml:space="preserve">The Living AI Solution Dossier is the central output of TenXPros. It is a structured, evidence-based portfolio that demonstrates the participant's full capability arc — from problem to responsible AI-enabled solution to defensible proof plan to strategic foresight.</w:t>
      </w:r>
    </w:p>
    <w:p>
      <w:pPr>
        <w:spacing w:after="200"/>
      </w:pPr>
    </w:p>
    <w:p>
      <w:pPr>
        <w:spacing w:after="120" w:line="300"/>
        <w:jc w:val="left"/>
      </w:pPr>
      <w:r>
        <w:rPr>
          <w:sz w:val="22"/>
          <w:szCs w:val="22"/>
        </w:rPr>
        <w:t xml:space="preserve">It is called Living because it grows throughout the program, not at the end. Each module contributes a section. By the time the Capstone arrives, the Dossier is already substantially built — the Capstone integrates and refines rather than starting from scratch.</w:t>
      </w:r>
    </w:p>
    <w:p>
      <w:pPr>
        <w:pStyle w:val="Heading2"/>
        <w:spacing w:after="160" w:before="280"/>
      </w:pPr>
      <w:r>
        <w:rPr>
          <w:b/>
          <w:bCs/>
          <w:color w:val="2E75B6"/>
          <w:sz w:val="28"/>
          <w:szCs w:val="28"/>
        </w:rPr>
        <w:t xml:space="preserve">Required Dossier Sections</w:t>
      </w:r>
    </w:p>
    <w:p>
      <w:pPr>
        <w:pStyle w:val="ListParagraph"/>
        <w:numPr>
          <w:ilvl w:val="0"/>
          <w:numId w:val="3"/>
        </w:numPr>
        <w:spacing w:after="80" w:line="280"/>
      </w:pPr>
      <w:r>
        <w:rPr>
          <w:sz w:val="22"/>
          <w:szCs w:val="22"/>
        </w:rPr>
        <w:t xml:space="preserve">Professional Context — who the participant is, their field, their role.</w:t>
      </w:r>
    </w:p>
    <w:p>
      <w:pPr>
        <w:pStyle w:val="ListParagraph"/>
        <w:numPr>
          <w:ilvl w:val="0"/>
          <w:numId w:val="3"/>
        </w:numPr>
        <w:spacing w:after="80" w:line="280"/>
      </w:pPr>
      <w:r>
        <w:rPr>
          <w:sz w:val="22"/>
          <w:szCs w:val="22"/>
        </w:rPr>
        <w:t xml:space="preserve">Problem Definition — the real problem, framed structurally.</w:t>
      </w:r>
    </w:p>
    <w:p>
      <w:pPr>
        <w:pStyle w:val="ListParagraph"/>
        <w:numPr>
          <w:ilvl w:val="0"/>
          <w:numId w:val="3"/>
        </w:numPr>
        <w:spacing w:after="80" w:line="280"/>
      </w:pPr>
      <w:r>
        <w:rPr>
          <w:sz w:val="22"/>
          <w:szCs w:val="22"/>
        </w:rPr>
        <w:t xml:space="preserve">AI Suitability Assessment — whether and where AI is appropriate.</w:t>
      </w:r>
    </w:p>
    <w:p>
      <w:pPr>
        <w:pStyle w:val="ListParagraph"/>
        <w:numPr>
          <w:ilvl w:val="0"/>
          <w:numId w:val="3"/>
        </w:numPr>
        <w:spacing w:after="80" w:line="280"/>
      </w:pPr>
      <w:r>
        <w:rPr>
          <w:sz w:val="22"/>
          <w:szCs w:val="22"/>
        </w:rPr>
        <w:t xml:space="preserve">Context, Stakeholder &amp; Initial Foresight Analysis.</w:t>
      </w:r>
    </w:p>
    <w:p>
      <w:pPr>
        <w:pStyle w:val="ListParagraph"/>
        <w:numPr>
          <w:ilvl w:val="0"/>
          <w:numId w:val="3"/>
        </w:numPr>
        <w:spacing w:after="80" w:line="280"/>
      </w:pPr>
      <w:r>
        <w:rPr>
          <w:sz w:val="22"/>
          <w:szCs w:val="22"/>
        </w:rPr>
        <w:t xml:space="preserve">Data &amp; Evidence Review.</w:t>
      </w:r>
    </w:p>
    <w:p>
      <w:pPr>
        <w:pStyle w:val="ListParagraph"/>
        <w:numPr>
          <w:ilvl w:val="0"/>
          <w:numId w:val="3"/>
        </w:numPr>
        <w:spacing w:after="80" w:line="280"/>
      </w:pPr>
      <w:r>
        <w:rPr>
          <w:sz w:val="22"/>
          <w:szCs w:val="22"/>
        </w:rPr>
        <w:t xml:space="preserve">Workflow Before / After.</w:t>
      </w:r>
    </w:p>
    <w:p>
      <w:pPr>
        <w:pStyle w:val="ListParagraph"/>
        <w:numPr>
          <w:ilvl w:val="0"/>
          <w:numId w:val="3"/>
        </w:numPr>
        <w:spacing w:after="80" w:line="280"/>
      </w:pPr>
      <w:r>
        <w:rPr>
          <w:sz w:val="22"/>
          <w:szCs w:val="22"/>
        </w:rPr>
        <w:t xml:space="preserve">Risk, Ethics, Privacy &amp; Compliance Review.</w:t>
      </w:r>
    </w:p>
    <w:p>
      <w:pPr>
        <w:pStyle w:val="ListParagraph"/>
        <w:numPr>
          <w:ilvl w:val="0"/>
          <w:numId w:val="3"/>
        </w:numPr>
        <w:spacing w:after="80" w:line="280"/>
      </w:pPr>
      <w:r>
        <w:rPr>
          <w:sz w:val="22"/>
          <w:szCs w:val="22"/>
        </w:rPr>
        <w:t xml:space="preserve">Responsible AI Solution Design.</w:t>
      </w:r>
    </w:p>
    <w:p>
      <w:pPr>
        <w:pStyle w:val="ListParagraph"/>
        <w:numPr>
          <w:ilvl w:val="0"/>
          <w:numId w:val="3"/>
        </w:numPr>
        <w:spacing w:after="80" w:line="280"/>
      </w:pPr>
      <w:r>
        <w:rPr>
          <w:sz w:val="22"/>
          <w:szCs w:val="22"/>
        </w:rPr>
        <w:t xml:space="preserve">Adoption &amp; Communication Plan.</w:t>
      </w:r>
    </w:p>
    <w:p>
      <w:pPr>
        <w:pStyle w:val="ListParagraph"/>
        <w:numPr>
          <w:ilvl w:val="0"/>
          <w:numId w:val="3"/>
        </w:numPr>
        <w:spacing w:after="80" w:line="280"/>
      </w:pPr>
      <w:r>
        <w:rPr>
          <w:sz w:val="22"/>
          <w:szCs w:val="22"/>
        </w:rPr>
        <w:t xml:space="preserve">Value, Roadmap &amp; Proof Plan.</w:t>
      </w:r>
    </w:p>
    <w:p>
      <w:pPr>
        <w:pStyle w:val="ListParagraph"/>
        <w:numPr>
          <w:ilvl w:val="0"/>
          <w:numId w:val="3"/>
        </w:numPr>
        <w:spacing w:after="80" w:line="280"/>
      </w:pPr>
      <w:r>
        <w:rPr>
          <w:sz w:val="22"/>
          <w:szCs w:val="22"/>
        </w:rPr>
        <w:t xml:space="preserve">Personal AI Foresight Plan.</w:t>
      </w:r>
    </w:p>
    <w:p>
      <w:pPr>
        <w:pStyle w:val="ListParagraph"/>
        <w:numPr>
          <w:ilvl w:val="0"/>
          <w:numId w:val="3"/>
        </w:numPr>
        <w:spacing w:after="80" w:line="280"/>
      </w:pPr>
      <w:r>
        <w:rPr>
          <w:sz w:val="22"/>
          <w:szCs w:val="22"/>
        </w:rPr>
        <w:t xml:space="preserve">Final Recommendation.</w:t>
      </w:r>
    </w:p>
    <w:p>
      <w:pPr>
        <w:pStyle w:val="Heading2"/>
        <w:spacing w:after="160" w:before="280"/>
      </w:pPr>
      <w:r>
        <w:rPr>
          <w:b/>
          <w:bCs/>
          <w:color w:val="2E75B6"/>
          <w:sz w:val="28"/>
          <w:szCs w:val="28"/>
        </w:rPr>
        <w:t xml:space="preserve">How Each Module Builds the Dossier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2"/>
                <w:szCs w:val="22"/>
              </w:rPr>
              <w:t xml:space="preserve">Module</w:t>
            </w:r>
          </w:p>
        </w:tc>
        <w:tc>
          <w:tcPr>
            <w:tcW w:type="dxa" w:w="716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2"/>
                <w:szCs w:val="22"/>
              </w:rPr>
              <w:t xml:space="preserve">Dossier Contribution</w:t>
            </w:r>
          </w:p>
        </w:tc>
      </w:tr>
      <w:tr>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Module 1</w:t>
            </w:r>
          </w:p>
        </w:tc>
        <w:tc>
          <w:tcPr>
            <w:tcW w:type="dxa" w:w="71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Establishes AI readiness mindset that frames the entire Dossier.</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Module 2</w:t>
            </w:r>
          </w:p>
        </w:tc>
        <w:tc>
          <w:tcPr>
            <w:tcW w:type="dxa" w:w="71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Maps AI capability, limitations, and tool fluency for the participant's domain.</w:t>
            </w:r>
          </w:p>
        </w:tc>
      </w:tr>
      <w:tr>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Module 3</w:t>
            </w:r>
          </w:p>
        </w:tc>
        <w:tc>
          <w:tcPr>
            <w:tcW w:type="dxa" w:w="71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Identifies responsible AI boundaries and risk red lines.</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Module 4</w:t>
            </w:r>
          </w:p>
        </w:tc>
        <w:tc>
          <w:tcPr>
            <w:tcW w:type="dxa" w:w="71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Frames the real problem — Problem Definition section.</w:t>
            </w:r>
          </w:p>
        </w:tc>
      </w:tr>
      <w:tr>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Module 5</w:t>
            </w:r>
          </w:p>
        </w:tc>
        <w:tc>
          <w:tcPr>
            <w:tcW w:type="dxa" w:w="71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Maps context, stakeholders, and initial AI foresight signals.</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Module 6</w:t>
            </w:r>
          </w:p>
        </w:tc>
        <w:tc>
          <w:tcPr>
            <w:tcW w:type="dxa" w:w="71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Builds the evidence table and claim ledger.</w:t>
            </w:r>
          </w:p>
        </w:tc>
      </w:tr>
      <w:tr>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Module 7</w:t>
            </w:r>
          </w:p>
        </w:tc>
        <w:tc>
          <w:tcPr>
            <w:tcW w:type="dxa" w:w="71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Maps workflow and human-AI allocation.</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Module 8</w:t>
            </w:r>
          </w:p>
        </w:tc>
        <w:tc>
          <w:tcPr>
            <w:tcW w:type="dxa" w:w="71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Designs the responsible AI solution.</w:t>
            </w:r>
          </w:p>
        </w:tc>
      </w:tr>
      <w:tr>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Module 9</w:t>
            </w:r>
          </w:p>
        </w:tc>
        <w:tc>
          <w:tcPr>
            <w:tcW w:type="dxa" w:w="71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Plans adoption and communication.</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Module 10</w:t>
            </w:r>
          </w:p>
        </w:tc>
        <w:tc>
          <w:tcPr>
            <w:tcW w:type="dxa" w:w="71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Defines value, proof, and roadmap logic.</w:t>
            </w:r>
          </w:p>
        </w:tc>
      </w:tr>
      <w:tr>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Module 11</w:t>
            </w:r>
          </w:p>
        </w:tc>
        <w:tc>
          <w:tcPr>
            <w:tcW w:type="dxa" w:w="71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Builds the Personal AI Foresight Plan with scenarios and signals.</w:t>
            </w:r>
          </w:p>
        </w:tc>
      </w:tr>
      <w:tr>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bCs/>
                <w:sz w:val="22"/>
                <w:szCs w:val="22"/>
              </w:rPr>
              <w:t xml:space="preserve">Capstone</w:t>
            </w:r>
          </w:p>
        </w:tc>
        <w:tc>
          <w:tcPr>
            <w:tcW w:type="dxa" w:w="71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b/>
                <w:bCs/>
                <w:sz w:val="22"/>
                <w:szCs w:val="22"/>
              </w:rPr>
              <w:t xml:space="preserve">Integrates all sections into the final, defensible Dossier.</w:t>
            </w:r>
          </w:p>
        </w:tc>
      </w:tr>
    </w:tbl>
    <w:p>
      <w:r>
        <w:br w:type="page"/>
      </w:r>
    </w:p>
    <w:p>
      <w:pPr>
        <w:pStyle w:val="Heading1"/>
        <w:spacing w:after="200" w:before="360"/>
      </w:pPr>
      <w:r>
        <w:rPr>
          <w:b/>
          <w:bCs/>
          <w:color w:val="1F4E79"/>
          <w:sz w:val="36"/>
          <w:szCs w:val="36"/>
        </w:rPr>
        <w:t xml:space="preserve">14. The Capstone and Certification Decision</w:t>
      </w:r>
    </w:p>
    <w:p>
      <w:pPr>
        <w:pStyle w:val="Heading2"/>
        <w:spacing w:after="160" w:before="280"/>
      </w:pPr>
      <w:r>
        <w:rPr>
          <w:b/>
          <w:bCs/>
          <w:color w:val="2E75B6"/>
          <w:sz w:val="28"/>
          <w:szCs w:val="28"/>
        </w:rPr>
        <w:t xml:space="preserve">What the Capstone Is</w:t>
      </w:r>
    </w:p>
    <w:p>
      <w:pPr>
        <w:spacing w:after="120" w:line="300"/>
        <w:jc w:val="left"/>
      </w:pPr>
      <w:r>
        <w:rPr>
          <w:sz w:val="22"/>
          <w:szCs w:val="22"/>
        </w:rPr>
        <w:t xml:space="preserve">The Capstone is the final integration step. The participant takes the artifacts produced across all eleven modules and integrates them into a single, coherent, defensible Dossier.</w:t>
      </w:r>
    </w:p>
    <w:p>
      <w:pPr>
        <w:pStyle w:val="Heading2"/>
        <w:spacing w:after="160" w:before="280"/>
      </w:pPr>
      <w:r>
        <w:rPr>
          <w:b/>
          <w:bCs/>
          <w:color w:val="2E75B6"/>
          <w:sz w:val="28"/>
          <w:szCs w:val="28"/>
        </w:rPr>
        <w:t xml:space="preserve">Required Capstone Submission</w:t>
      </w:r>
    </w:p>
    <w:p>
      <w:pPr>
        <w:spacing w:after="120" w:line="300"/>
        <w:jc w:val="left"/>
      </w:pPr>
      <w:r>
        <w:rPr>
          <w:sz w:val="22"/>
          <w:szCs w:val="22"/>
        </w:rPr>
        <w:t xml:space="preserve">Every participant submits a written Living AI Solution Dossier in the format defined by the program. The Dossier is the required output.</w:t>
      </w:r>
    </w:p>
    <w:p>
      <w:pPr>
        <w:pStyle w:val="Heading2"/>
        <w:spacing w:after="160" w:before="280"/>
      </w:pPr>
      <w:r>
        <w:rPr>
          <w:b/>
          <w:bCs/>
          <w:color w:val="2E75B6"/>
          <w:sz w:val="28"/>
          <w:szCs w:val="28"/>
        </w:rPr>
        <w:t xml:space="preserve">Optional Capstone Presentation</w:t>
      </w:r>
    </w:p>
    <w:p>
      <w:pPr>
        <w:spacing w:after="120" w:line="300"/>
        <w:jc w:val="left"/>
      </w:pPr>
      <w:r>
        <w:rPr>
          <w:sz w:val="22"/>
          <w:szCs w:val="22"/>
        </w:rPr>
        <w:t xml:space="preserve">Participants may optionally submit a recorded video presentation defending the Dossier. This is encouraged for participants who plan to use the Dossier as a client-facing artifact or portfolio piece, but it is not required for certification.</w:t>
      </w:r>
    </w:p>
    <w:p>
      <w:pPr>
        <w:pStyle w:val="Heading2"/>
        <w:spacing w:after="160" w:before="280"/>
      </w:pPr>
      <w:r>
        <w:rPr>
          <w:b/>
          <w:bCs/>
          <w:color w:val="2E75B6"/>
          <w:sz w:val="28"/>
          <w:szCs w:val="28"/>
        </w:rPr>
        <w:t xml:space="preserve">Certification Review</w:t>
      </w:r>
    </w:p>
    <w:p>
      <w:pPr>
        <w:spacing w:after="120" w:line="300"/>
        <w:jc w:val="left"/>
      </w:pPr>
      <w:r>
        <w:rPr>
          <w:sz w:val="22"/>
          <w:szCs w:val="22"/>
        </w:rPr>
        <w:t xml:space="preserve">The Dossier is reviewed against a defined rubric covering problem framing, AI suitability, evidence rigor, risk treatment, solution responsibility, adoption realism, value defensibility, foresight quality, and overall coherence.</w:t>
      </w:r>
    </w:p>
    <w:p>
      <w:pPr>
        <w:spacing w:after="200"/>
      </w:pPr>
    </w:p>
    <w:p>
      <w:pPr>
        <w:spacing w:after="120" w:line="300"/>
        <w:jc w:val="left"/>
      </w:pPr>
      <w:r>
        <w:rPr>
          <w:sz w:val="22"/>
          <w:szCs w:val="22"/>
        </w:rPr>
        <w:t xml:space="preserve">Within the defined review window, the participant receives one of the four outcomes. Conditionally Certified participants may revise once within a defined window. Capstone resubmission beyond this is available as a paid add-on.</w:t>
      </w:r>
    </w:p>
    <w:p>
      <w:r>
        <w:br w:type="page"/>
      </w:r>
    </w:p>
    <w:p>
      <w:pPr>
        <w:pStyle w:val="Heading1"/>
        <w:spacing w:after="200" w:before="360"/>
      </w:pPr>
      <w:r>
        <w:rPr>
          <w:b/>
          <w:bCs/>
          <w:color w:val="1F4E79"/>
          <w:sz w:val="36"/>
          <w:szCs w:val="36"/>
        </w:rPr>
        <w:t xml:space="preserve">15. Async-First Delivery Model</w:t>
      </w:r>
    </w:p>
    <w:p>
      <w:pPr>
        <w:pStyle w:val="Heading2"/>
        <w:spacing w:after="160" w:before="280"/>
      </w:pPr>
      <w:r>
        <w:rPr>
          <w:b/>
          <w:bCs/>
          <w:color w:val="2E75B6"/>
          <w:sz w:val="28"/>
          <w:szCs w:val="28"/>
        </w:rPr>
        <w:t xml:space="preserve">The Delivery Philosophy</w:t>
      </w:r>
    </w:p>
    <w:p>
      <w:pPr>
        <w:spacing w:after="120" w:line="300"/>
        <w:jc w:val="left"/>
      </w:pPr>
      <w:r>
        <w:rPr>
          <w:sz w:val="22"/>
          <w:szCs w:val="22"/>
        </w:rPr>
        <w:t xml:space="preserve">TenXPros is intentionally async-first. This is not a compromise — it is a deliberate design choice that serves the participant and the program. Working professionals do not want more mandatory meetings. They want substantive work, structured feedback, real progress on their own time, and personal coaching support throughout.</w:t>
      </w:r>
    </w:p>
    <w:p>
      <w:pPr>
        <w:pStyle w:val="Heading2"/>
        <w:spacing w:after="160" w:before="280"/>
      </w:pPr>
      <w:r>
        <w:rPr>
          <w:b/>
          <w:bCs/>
          <w:color w:val="2E75B6"/>
          <w:sz w:val="28"/>
          <w:szCs w:val="28"/>
        </w:rPr>
        <w:t xml:space="preserve">Why Async-First, Not Self-Paced</w:t>
      </w:r>
    </w:p>
    <w:p>
      <w:pPr>
        <w:spacing w:after="120" w:line="300"/>
        <w:jc w:val="left"/>
      </w:pPr>
      <w:r>
        <w:rPr>
          <w:sz w:val="22"/>
          <w:szCs w:val="22"/>
        </w:rPr>
        <w:t xml:space="preserve">Async-first does not mean self-paced. Self-paced means: take the materials and complete them whenever you like, with no rhythm and no accountability. That model produces 5-15% completion rates.</w:t>
      </w:r>
    </w:p>
    <w:p>
      <w:pPr>
        <w:spacing w:after="200"/>
      </w:pPr>
    </w:p>
    <w:p>
      <w:pPr>
        <w:spacing w:after="120" w:line="300"/>
        <w:jc w:val="left"/>
      </w:pPr>
      <w:r>
        <w:rPr>
          <w:sz w:val="22"/>
          <w:szCs w:val="22"/>
        </w:rPr>
        <w:t xml:space="preserve">Async-first means: the program has structure, rhythm, milestones, deadlines, coach support, and feedback — but no mandatory live meetings. Materials unlock weekly. Submissions are reviewed. Coaches engage actively. The participant is never alone with a pile of unsorted videos.</w:t>
      </w:r>
    </w:p>
    <w:p>
      <w:pPr>
        <w:pStyle w:val="Heading2"/>
        <w:spacing w:after="160" w:before="280"/>
      </w:pPr>
      <w:r>
        <w:rPr>
          <w:b/>
          <w:bCs/>
          <w:color w:val="2E75B6"/>
          <w:sz w:val="28"/>
          <w:szCs w:val="28"/>
        </w:rPr>
        <w:t xml:space="preserve">How the Async Rhythm Works</w:t>
      </w:r>
    </w:p>
    <w:p>
      <w:pPr>
        <w:pStyle w:val="ListParagraph"/>
        <w:numPr>
          <w:ilvl w:val="0"/>
          <w:numId w:val="3"/>
        </w:numPr>
        <w:spacing w:after="80" w:line="280"/>
      </w:pPr>
      <w:r>
        <w:rPr>
          <w:sz w:val="22"/>
          <w:szCs w:val="22"/>
        </w:rPr>
        <w:t xml:space="preserve">Each week, a new module unlocks based on the participant's progress in the previous module.</w:t>
      </w:r>
    </w:p>
    <w:p>
      <w:pPr>
        <w:pStyle w:val="ListParagraph"/>
        <w:numPr>
          <w:ilvl w:val="0"/>
          <w:numId w:val="3"/>
        </w:numPr>
        <w:spacing w:after="80" w:line="280"/>
      </w:pPr>
      <w:r>
        <w:rPr>
          <w:sz w:val="22"/>
          <w:szCs w:val="22"/>
        </w:rPr>
        <w:t xml:space="preserve">Each module includes learning materials, hands-on exercises, and a required submission.</w:t>
      </w:r>
    </w:p>
    <w:p>
      <w:pPr>
        <w:pStyle w:val="ListParagraph"/>
        <w:numPr>
          <w:ilvl w:val="0"/>
          <w:numId w:val="3"/>
        </w:numPr>
        <w:spacing w:after="80" w:line="280"/>
      </w:pPr>
      <w:r>
        <w:rPr>
          <w:sz w:val="22"/>
          <w:szCs w:val="22"/>
        </w:rPr>
        <w:t xml:space="preserve">Submissions trigger coach feedback at defined milestone checkpoints.</w:t>
      </w:r>
    </w:p>
    <w:p>
      <w:pPr>
        <w:pStyle w:val="ListParagraph"/>
        <w:numPr>
          <w:ilvl w:val="0"/>
          <w:numId w:val="3"/>
        </w:numPr>
        <w:spacing w:after="80" w:line="280"/>
      </w:pPr>
      <w:r>
        <w:rPr>
          <w:sz w:val="22"/>
          <w:szCs w:val="22"/>
        </w:rPr>
        <w:t xml:space="preserve">The community is active throughout the week, providing peer feedback and discussion.</w:t>
      </w:r>
    </w:p>
    <w:p>
      <w:pPr>
        <w:pStyle w:val="ListParagraph"/>
        <w:numPr>
          <w:ilvl w:val="0"/>
          <w:numId w:val="3"/>
        </w:numPr>
        <w:spacing w:after="80" w:line="280"/>
      </w:pPr>
      <w:r>
        <w:rPr>
          <w:sz w:val="22"/>
          <w:szCs w:val="22"/>
        </w:rPr>
        <w:t xml:space="preserve">Weekly broadcast Loom videos from the founder address common themes across the active community.</w:t>
      </w:r>
    </w:p>
    <w:p>
      <w:pPr>
        <w:pStyle w:val="Heading2"/>
        <w:spacing w:after="160" w:before="280"/>
      </w:pPr>
      <w:r>
        <w:rPr>
          <w:b/>
          <w:bCs/>
          <w:color w:val="2E75B6"/>
          <w:sz w:val="28"/>
          <w:szCs w:val="28"/>
        </w:rPr>
        <w:t xml:space="preserve">The Async Touchpoints</w:t>
      </w:r>
    </w:p>
    <w:p>
      <w:pPr>
        <w:pStyle w:val="ListParagraph"/>
        <w:numPr>
          <w:ilvl w:val="0"/>
          <w:numId w:val="3"/>
        </w:numPr>
        <w:spacing w:after="80" w:line="280"/>
      </w:pPr>
      <w:r>
        <w:rPr>
          <w:sz w:val="22"/>
          <w:szCs w:val="22"/>
        </w:rPr>
        <w:t xml:space="preserve">Personalized welcome Loom from the assigned coach, recorded after the Diagnostic Intake.</w:t>
      </w:r>
    </w:p>
    <w:p>
      <w:pPr>
        <w:pStyle w:val="ListParagraph"/>
        <w:numPr>
          <w:ilvl w:val="0"/>
          <w:numId w:val="3"/>
        </w:numPr>
        <w:spacing w:after="80" w:line="280"/>
      </w:pPr>
      <w:r>
        <w:rPr>
          <w:sz w:val="22"/>
          <w:szCs w:val="22"/>
        </w:rPr>
        <w:t xml:space="preserve">Weekly broadcast Loom from the founder, shared with the entire active community.</w:t>
      </w:r>
    </w:p>
    <w:p>
      <w:pPr>
        <w:pStyle w:val="ListParagraph"/>
        <w:numPr>
          <w:ilvl w:val="0"/>
          <w:numId w:val="3"/>
        </w:numPr>
        <w:spacing w:after="80" w:line="280"/>
      </w:pPr>
      <w:r>
        <w:rPr>
          <w:sz w:val="22"/>
          <w:szCs w:val="22"/>
        </w:rPr>
        <w:t xml:space="preserve">Structured written coach feedback at four milestone checkpoints.</w:t>
      </w:r>
    </w:p>
    <w:p>
      <w:pPr>
        <w:pStyle w:val="ListParagraph"/>
        <w:numPr>
          <w:ilvl w:val="0"/>
          <w:numId w:val="3"/>
        </w:numPr>
        <w:spacing w:after="80" w:line="280"/>
      </w:pPr>
      <w:r>
        <w:rPr>
          <w:sz w:val="22"/>
          <w:szCs w:val="22"/>
        </w:rPr>
        <w:t xml:space="preserve">Community discussion threads, including peer pairings for cross-feedback on specific artifacts.</w:t>
      </w:r>
    </w:p>
    <w:p>
      <w:pPr>
        <w:pStyle w:val="ListParagraph"/>
        <w:numPr>
          <w:ilvl w:val="0"/>
          <w:numId w:val="3"/>
        </w:numPr>
        <w:spacing w:after="80" w:line="280"/>
      </w:pPr>
      <w:r>
        <w:rPr>
          <w:sz w:val="22"/>
          <w:szCs w:val="22"/>
        </w:rPr>
        <w:t xml:space="preserve">Final Dossier review delivered as a coach Loom debrief video — the participant's keepsake.</w:t>
      </w:r>
    </w:p>
    <w:p>
      <w:pPr>
        <w:pStyle w:val="Heading2"/>
        <w:spacing w:after="160" w:before="280"/>
      </w:pPr>
      <w:r>
        <w:rPr>
          <w:b/>
          <w:bCs/>
          <w:color w:val="2E75B6"/>
          <w:sz w:val="28"/>
          <w:szCs w:val="28"/>
        </w:rPr>
        <w:t xml:space="preserve">Optional Async Components</w:t>
      </w:r>
    </w:p>
    <w:p>
      <w:pPr>
        <w:spacing w:after="120" w:line="300"/>
        <w:jc w:val="left"/>
      </w:pPr>
      <w:r>
        <w:rPr>
          <w:sz w:val="22"/>
          <w:szCs w:val="22"/>
        </w:rPr>
        <w:t xml:space="preserve">A monthly optional Loom Q&amp;A session is offered. Participants submit questions in advance through the community; the founder or coach records responses. Participants watch on their own time.</w:t>
      </w:r>
    </w:p>
    <w:p>
      <w:r>
        <w:br w:type="page"/>
      </w:r>
    </w:p>
    <w:p>
      <w:pPr>
        <w:pStyle w:val="Heading1"/>
        <w:spacing w:after="200" w:before="360"/>
      </w:pPr>
      <w:r>
        <w:rPr>
          <w:b/>
          <w:bCs/>
          <w:color w:val="1F4E79"/>
          <w:sz w:val="36"/>
          <w:szCs w:val="36"/>
        </w:rPr>
        <w:t xml:space="preserve">16. The Coach System</w:t>
      </w:r>
    </w:p>
    <w:p>
      <w:pPr>
        <w:pStyle w:val="Heading2"/>
        <w:spacing w:after="160" w:before="280"/>
      </w:pPr>
      <w:r>
        <w:rPr>
          <w:b/>
          <w:bCs/>
          <w:color w:val="2E75B6"/>
          <w:sz w:val="28"/>
          <w:szCs w:val="28"/>
        </w:rPr>
        <w:t xml:space="preserve">The Coach Model</w:t>
      </w:r>
    </w:p>
    <w:p>
      <w:pPr>
        <w:spacing w:after="120" w:line="300"/>
        <w:jc w:val="left"/>
      </w:pPr>
      <w:r>
        <w:rPr>
          <w:sz w:val="22"/>
          <w:szCs w:val="22"/>
        </w:rPr>
        <w:t xml:space="preserve">Every TenXPros participant is assigned a Personal AI Coach for the 12 weeks of the program. The coach is the participant's primary point of contact, responsible for personalized guidance, feedback, and pacing support.</w:t>
      </w:r>
    </w:p>
    <w:p>
      <w:pPr>
        <w:pStyle w:val="Heading2"/>
        <w:spacing w:after="160" w:before="280"/>
      </w:pPr>
      <w:r>
        <w:rPr>
          <w:b/>
          <w:bCs/>
          <w:color w:val="2E75B6"/>
          <w:sz w:val="28"/>
          <w:szCs w:val="28"/>
        </w:rPr>
        <w:t xml:space="preserve">Who the Coach Is</w:t>
      </w:r>
    </w:p>
    <w:p>
      <w:pPr>
        <w:spacing w:after="120" w:line="300"/>
        <w:jc w:val="left"/>
      </w:pPr>
      <w:r>
        <w:rPr>
          <w:sz w:val="22"/>
          <w:szCs w:val="22"/>
        </w:rPr>
        <w:t xml:space="preserve">The TenXPros coaching structure is designed to evolve as the program grows. The founder leads coaching for the earliest charter members; as the program matures, founder-trained TenXPros coaches join progressively.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EAF1F8" w:val="clear"/>
            <w:tcMar>
              <w:top w:type="dxa" w:w="200"/>
              <w:left w:type="dxa" w:w="280"/>
              <w:bottom w:type="dxa" w:w="200"/>
              <w:right w:type="dxa" w:w="280"/>
            </w:tcMar>
          </w:tcPr>
          <w:p>
            <w:pPr>
              <w:spacing w:after="100"/>
            </w:pPr>
            <w:r>
              <w:rPr>
                <w:b/>
                <w:bCs/>
                <w:color w:val="1F4E79"/>
                <w:sz w:val="24"/>
                <w:szCs w:val="24"/>
              </w:rPr>
              <w:t xml:space="preserve">Coaching evolution principle</w:t>
            </w:r>
          </w:p>
          <w:p>
            <w:pPr>
              <w:spacing w:after="0"/>
            </w:pPr>
            <w:r>
              <w:rPr>
                <w:color w:val="262626"/>
                <w:sz w:val="22"/>
                <w:szCs w:val="22"/>
              </w:rPr>
              <w:t xml:space="preserve">Early charter members receive founder-led guidance. As the program grows, founder-trained TenXPros coaches will support future participants. Public communication does not promise a specific cutoff number; the founder and trained coaches together ensure that every participant receives the same standard of coach support throughout their 12 weeks.</w:t>
            </w:r>
          </w:p>
        </w:tc>
      </w:tr>
    </w:tbl>
    <w:p>
      <w:pPr>
        <w:spacing w:after="200"/>
      </w:pPr>
    </w:p>
    <w:p>
      <w:pPr>
        <w:spacing w:after="120" w:line="300"/>
        <w:jc w:val="left"/>
      </w:pPr>
      <w:r>
        <w:rPr>
          <w:sz w:val="22"/>
          <w:szCs w:val="22"/>
        </w:rPr>
        <w:t xml:space="preserve">Internal target (not publicly committed): the founder leads coaching for charter tiers 1-3 while building the coach team during this period. By the time Tier 4 begins, founder-trained coaches are operational and contributing to participant support. This internal target gives the founder direction without locking the program into a rigid promise.</w:t>
      </w:r>
    </w:p>
    <w:p>
      <w:pPr>
        <w:pStyle w:val="Heading2"/>
        <w:spacing w:after="160" w:before="280"/>
      </w:pPr>
      <w:r>
        <w:rPr>
          <w:b/>
          <w:bCs/>
          <w:color w:val="2E75B6"/>
          <w:sz w:val="28"/>
          <w:szCs w:val="28"/>
        </w:rPr>
        <w:t xml:space="preserve">What the Coach Does</w:t>
      </w:r>
    </w:p>
    <w:p>
      <w:pPr>
        <w:pStyle w:val="ListParagraph"/>
        <w:numPr>
          <w:ilvl w:val="0"/>
          <w:numId w:val="2"/>
        </w:numPr>
        <w:spacing w:after="80" w:line="280"/>
      </w:pPr>
      <w:r>
        <w:rPr>
          <w:sz w:val="22"/>
          <w:szCs w:val="22"/>
        </w:rPr>
        <w:t xml:space="preserve">Reviews the participant's Diagnostic Intake and refines the personalized path.</w:t>
      </w:r>
    </w:p>
    <w:p>
      <w:pPr>
        <w:pStyle w:val="ListParagraph"/>
        <w:numPr>
          <w:ilvl w:val="0"/>
          <w:numId w:val="2"/>
        </w:numPr>
        <w:spacing w:after="80" w:line="280"/>
      </w:pPr>
      <w:r>
        <w:rPr>
          <w:sz w:val="22"/>
          <w:szCs w:val="22"/>
        </w:rPr>
        <w:t xml:space="preserve">Records the personalized welcome Loom video at the start of the program.</w:t>
      </w:r>
    </w:p>
    <w:p>
      <w:pPr>
        <w:pStyle w:val="ListParagraph"/>
        <w:numPr>
          <w:ilvl w:val="0"/>
          <w:numId w:val="2"/>
        </w:numPr>
        <w:spacing w:after="80" w:line="280"/>
      </w:pPr>
      <w:r>
        <w:rPr>
          <w:sz w:val="22"/>
          <w:szCs w:val="22"/>
        </w:rPr>
        <w:t xml:space="preserve">Responds to participant tickets within fair-use limits.</w:t>
      </w:r>
    </w:p>
    <w:p>
      <w:pPr>
        <w:pStyle w:val="ListParagraph"/>
        <w:numPr>
          <w:ilvl w:val="0"/>
          <w:numId w:val="2"/>
        </w:numPr>
        <w:spacing w:after="80" w:line="280"/>
      </w:pPr>
      <w:r>
        <w:rPr>
          <w:sz w:val="22"/>
          <w:szCs w:val="22"/>
        </w:rPr>
        <w:t xml:space="preserve">Provides structured written feedback at four milestone checkpoints.</w:t>
      </w:r>
    </w:p>
    <w:p>
      <w:pPr>
        <w:pStyle w:val="ListParagraph"/>
        <w:numPr>
          <w:ilvl w:val="0"/>
          <w:numId w:val="2"/>
        </w:numPr>
        <w:spacing w:after="80" w:line="280"/>
      </w:pPr>
      <w:r>
        <w:rPr>
          <w:sz w:val="22"/>
          <w:szCs w:val="22"/>
        </w:rPr>
        <w:t xml:space="preserve">Records the mid-program voice or video review.</w:t>
      </w:r>
    </w:p>
    <w:p>
      <w:pPr>
        <w:pStyle w:val="ListParagraph"/>
        <w:numPr>
          <w:ilvl w:val="0"/>
          <w:numId w:val="2"/>
        </w:numPr>
        <w:spacing w:after="80" w:line="280"/>
      </w:pPr>
      <w:r>
        <w:rPr>
          <w:sz w:val="22"/>
          <w:szCs w:val="22"/>
        </w:rPr>
        <w:t xml:space="preserve">Reviews and approves module artifacts for the participant's progression.</w:t>
      </w:r>
    </w:p>
    <w:p>
      <w:pPr>
        <w:pStyle w:val="ListParagraph"/>
        <w:numPr>
          <w:ilvl w:val="0"/>
          <w:numId w:val="2"/>
        </w:numPr>
        <w:spacing w:after="80" w:line="280"/>
      </w:pPr>
      <w:r>
        <w:rPr>
          <w:sz w:val="22"/>
          <w:szCs w:val="22"/>
        </w:rPr>
        <w:t xml:space="preserve">Delivers the final Dossier review as a Loom debrief video.</w:t>
      </w:r>
    </w:p>
    <w:p>
      <w:pPr>
        <w:pStyle w:val="ListParagraph"/>
        <w:numPr>
          <w:ilvl w:val="0"/>
          <w:numId w:val="2"/>
        </w:numPr>
        <w:spacing w:after="80" w:line="280"/>
      </w:pPr>
      <w:r>
        <w:rPr>
          <w:sz w:val="22"/>
          <w:szCs w:val="22"/>
        </w:rPr>
        <w:t xml:space="preserve">Communicates the certification decision.</w:t>
      </w:r>
    </w:p>
    <w:p>
      <w:pPr>
        <w:pStyle w:val="Heading2"/>
        <w:spacing w:after="160" w:before="280"/>
      </w:pPr>
      <w:r>
        <w:rPr>
          <w:b/>
          <w:bCs/>
          <w:color w:val="2E75B6"/>
          <w:sz w:val="28"/>
          <w:szCs w:val="28"/>
        </w:rPr>
        <w:t xml:space="preserve">What the Coach Does Not Do</w:t>
      </w:r>
    </w:p>
    <w:p>
      <w:pPr>
        <w:pStyle w:val="ListParagraph"/>
        <w:numPr>
          <w:ilvl w:val="0"/>
          <w:numId w:val="2"/>
        </w:numPr>
        <w:spacing w:after="80" w:line="280"/>
      </w:pPr>
      <w:r>
        <w:rPr>
          <w:sz w:val="22"/>
          <w:szCs w:val="22"/>
        </w:rPr>
        <w:t xml:space="preserve">Provide unlimited consulting outside the participant's enrolled problem.</w:t>
      </w:r>
    </w:p>
    <w:p>
      <w:pPr>
        <w:pStyle w:val="ListParagraph"/>
        <w:numPr>
          <w:ilvl w:val="0"/>
          <w:numId w:val="2"/>
        </w:numPr>
        <w:spacing w:after="80" w:line="280"/>
      </w:pPr>
      <w:r>
        <w:rPr>
          <w:sz w:val="22"/>
          <w:szCs w:val="22"/>
        </w:rPr>
        <w:t xml:space="preserve">Do work on the participant's behalf.</w:t>
      </w:r>
    </w:p>
    <w:p>
      <w:pPr>
        <w:pStyle w:val="ListParagraph"/>
        <w:numPr>
          <w:ilvl w:val="0"/>
          <w:numId w:val="2"/>
        </w:numPr>
        <w:spacing w:after="80" w:line="280"/>
      </w:pPr>
      <w:r>
        <w:rPr>
          <w:sz w:val="22"/>
          <w:szCs w:val="22"/>
        </w:rPr>
        <w:t xml:space="preserve">Provide expert legal, medical, financial, or compliance advice.</w:t>
      </w:r>
    </w:p>
    <w:p>
      <w:pPr>
        <w:pStyle w:val="ListParagraph"/>
        <w:numPr>
          <w:ilvl w:val="0"/>
          <w:numId w:val="2"/>
        </w:numPr>
        <w:spacing w:after="80" w:line="280"/>
      </w:pPr>
      <w:r>
        <w:rPr>
          <w:sz w:val="22"/>
          <w:szCs w:val="22"/>
        </w:rPr>
        <w:t xml:space="preserve">Replace the participant's own judgment as the domain expert.</w:t>
      </w:r>
    </w:p>
    <w:p>
      <w:pPr>
        <w:pStyle w:val="Heading2"/>
        <w:spacing w:after="160" w:before="280"/>
      </w:pPr>
      <w:r>
        <w:rPr>
          <w:b/>
          <w:bCs/>
          <w:color w:val="2E75B6"/>
          <w:sz w:val="28"/>
          <w:szCs w:val="28"/>
        </w:rPr>
        <w:t xml:space="preserve">Founder Presence in the Program</w:t>
      </w:r>
    </w:p>
    <w:p>
      <w:pPr>
        <w:spacing w:after="120" w:line="300"/>
        <w:jc w:val="left"/>
      </w:pPr>
      <w:r>
        <w:rPr>
          <w:sz w:val="22"/>
          <w:szCs w:val="22"/>
        </w:rPr>
        <w:t xml:space="preserve">Beyond personal coaching for Tiers 1-3, the founder remains present in the program in three ways: (1) weekly broadcast Loom videos to the entire active community; (2) participation in the community as the program's anchor voice; (3) review of high-stakes Capstone Dossiers in regulated domains.</w:t>
      </w:r>
    </w:p>
    <w:p>
      <w:pPr>
        <w:pStyle w:val="Heading2"/>
        <w:spacing w:after="160" w:before="280"/>
      </w:pPr>
      <w:r>
        <w:rPr>
          <w:b/>
          <w:bCs/>
          <w:color w:val="2E75B6"/>
          <w:sz w:val="28"/>
          <w:szCs w:val="28"/>
        </w:rPr>
        <w:t xml:space="preserve">Coach Quality Assurance</w:t>
      </w:r>
    </w:p>
    <w:p>
      <w:pPr>
        <w:spacing w:after="120" w:line="300"/>
        <w:jc w:val="left"/>
      </w:pPr>
      <w:r>
        <w:rPr>
          <w:sz w:val="22"/>
          <w:szCs w:val="22"/>
        </w:rPr>
        <w:t xml:space="preserve">All coaches beyond the founder are themselves Certified TenXPros who have completed additional coach training. This ensures consistency of method and standard. Coach assignments may be adjusted to match domain expertise where possible.</w:t>
      </w:r>
    </w:p>
    <w:p>
      <w:r>
        <w:br w:type="page"/>
      </w:r>
    </w:p>
    <w:p>
      <w:pPr>
        <w:pStyle w:val="Heading1"/>
        <w:spacing w:after="200" w:before="360"/>
      </w:pPr>
      <w:r>
        <w:rPr>
          <w:b/>
          <w:bCs/>
          <w:color w:val="1F4E79"/>
          <w:sz w:val="36"/>
          <w:szCs w:val="36"/>
        </w:rPr>
        <w:t xml:space="preserve">17. TenXPros Coach Pipeline (Alumni Pathway)</w:t>
      </w:r>
    </w:p>
    <w:p>
      <w:pPr>
        <w:pStyle w:val="Heading2"/>
        <w:spacing w:after="160" w:before="280"/>
      </w:pPr>
      <w:r>
        <w:rPr>
          <w:b/>
          <w:bCs/>
          <w:color w:val="2E75B6"/>
          <w:sz w:val="28"/>
          <w:szCs w:val="28"/>
        </w:rPr>
        <w:t xml:space="preserve">Why a Coach Pipeline</w:t>
      </w:r>
    </w:p>
    <w:p>
      <w:pPr>
        <w:spacing w:after="120" w:line="300"/>
        <w:jc w:val="left"/>
      </w:pPr>
      <w:r>
        <w:rPr>
          <w:sz w:val="22"/>
          <w:szCs w:val="22"/>
        </w:rPr>
        <w:t xml:space="preserve">Certified TenXPros are a natural pool of future coaches. They have completed the program. They understand the methodology. They have produced a defensible Dossier. They have lived the participant experience and know what good coaching looks like from the inside. Inviting selected graduates into coaching is both a sustainable growth strategy for TenXPros and a meaningful earning opportunity for alumni.</w:t>
      </w:r>
    </w:p>
    <w:p>
      <w:pPr>
        <w:pStyle w:val="Heading2"/>
        <w:spacing w:after="160" w:before="280"/>
      </w:pPr>
      <w:r>
        <w:rPr>
          <w:b/>
          <w:bCs/>
          <w:color w:val="2E75B6"/>
          <w:sz w:val="28"/>
          <w:szCs w:val="28"/>
        </w:rPr>
        <w:t xml:space="preserve">The Pipeline Structure</w:t>
      </w:r>
    </w:p>
    <w:p>
      <w:pPr>
        <w:pStyle w:val="ListParagraph"/>
        <w:numPr>
          <w:ilvl w:val="0"/>
          <w:numId w:val="3"/>
        </w:numPr>
        <w:spacing w:after="80" w:line="280"/>
      </w:pPr>
      <w:r>
        <w:rPr>
          <w:sz w:val="22"/>
          <w:szCs w:val="22"/>
        </w:rPr>
        <w:t xml:space="preserve">A Certified TenXPro completes the program with a high-quality Dossier and demonstrated community engagement.</w:t>
      </w:r>
    </w:p>
    <w:p>
      <w:pPr>
        <w:pStyle w:val="ListParagraph"/>
        <w:numPr>
          <w:ilvl w:val="0"/>
          <w:numId w:val="3"/>
        </w:numPr>
        <w:spacing w:after="80" w:line="280"/>
      </w:pPr>
      <w:r>
        <w:rPr>
          <w:sz w:val="22"/>
          <w:szCs w:val="22"/>
        </w:rPr>
        <w:t xml:space="preserve">The graduate may apply for the TenXPros Coach Training Program.</w:t>
      </w:r>
    </w:p>
    <w:p>
      <w:pPr>
        <w:pStyle w:val="ListParagraph"/>
        <w:numPr>
          <w:ilvl w:val="0"/>
          <w:numId w:val="3"/>
        </w:numPr>
        <w:spacing w:after="80" w:line="280"/>
      </w:pPr>
      <w:r>
        <w:rPr>
          <w:sz w:val="22"/>
          <w:szCs w:val="22"/>
        </w:rPr>
        <w:t xml:space="preserve">Selection is based on Dossier quality, community contribution, communication style, and reliability.</w:t>
      </w:r>
    </w:p>
    <w:p>
      <w:pPr>
        <w:pStyle w:val="ListParagraph"/>
        <w:numPr>
          <w:ilvl w:val="0"/>
          <w:numId w:val="3"/>
        </w:numPr>
        <w:spacing w:after="80" w:line="280"/>
      </w:pPr>
      <w:r>
        <w:rPr>
          <w:sz w:val="22"/>
          <w:szCs w:val="22"/>
        </w:rPr>
        <w:t xml:space="preserve">Selected candidates complete a four-week Coach Training, which covers the TenXPros methodology in coaching context, feedback rubrics, communication discipline, and ethical boundaries.</w:t>
      </w:r>
    </w:p>
    <w:p>
      <w:pPr>
        <w:pStyle w:val="ListParagraph"/>
        <w:numPr>
          <w:ilvl w:val="0"/>
          <w:numId w:val="3"/>
        </w:numPr>
        <w:spacing w:after="80" w:line="280"/>
      </w:pPr>
      <w:r>
        <w:rPr>
          <w:sz w:val="22"/>
          <w:szCs w:val="22"/>
        </w:rPr>
        <w:t xml:space="preserve">Upon successful completion, the graduate becomes a TenXPros Certified Coach and can be assigned to coach new participants.</w:t>
      </w:r>
    </w:p>
    <w:p>
      <w:pPr>
        <w:pStyle w:val="Heading2"/>
        <w:spacing w:after="160" w:before="280"/>
      </w:pPr>
      <w:r>
        <w:rPr>
          <w:b/>
          <w:bCs/>
          <w:color w:val="2E75B6"/>
          <w:sz w:val="28"/>
          <w:szCs w:val="28"/>
        </w:rPr>
        <w:t xml:space="preserve">Coach Compensation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EAF1F8" w:val="clear"/>
            <w:tcMar>
              <w:top w:type="dxa" w:w="200"/>
              <w:left w:type="dxa" w:w="280"/>
              <w:bottom w:type="dxa" w:w="200"/>
              <w:right w:type="dxa" w:w="280"/>
            </w:tcMar>
          </w:tcPr>
          <w:p>
            <w:pPr>
              <w:spacing w:after="100"/>
            </w:pPr>
            <w:r>
              <w:rPr>
                <w:b/>
                <w:bCs/>
                <w:color w:val="1F4E79"/>
                <w:sz w:val="24"/>
                <w:szCs w:val="24"/>
              </w:rPr>
              <w:t xml:space="preserve">Revenue share</w:t>
            </w:r>
          </w:p>
          <w:p>
            <w:pPr>
              <w:spacing w:after="0"/>
            </w:pPr>
            <w:r>
              <w:rPr>
                <w:color w:val="262626"/>
                <w:sz w:val="22"/>
                <w:szCs w:val="22"/>
              </w:rPr>
              <w:t xml:space="preserve">TenXPros Certified Coaches receive 35% of the program fee for each participant they coach. TenXPros retains 65% to cover methodology, materials, platform, community, brand, admission, and certification review. For a $1,997 participant, the coach earns $699 over 12 weeks (approximately 8-10 hours of coaching work). For a $997 Founding Charter participant, the coach earns $349. This compensation structure positions coaching as a meaningful side income for alumni — not a primary career replacement, but a substantive professional engagement.</w:t>
            </w:r>
          </w:p>
        </w:tc>
      </w:tr>
    </w:tbl>
    <w:p>
      <w:pPr>
        <w:pStyle w:val="Heading2"/>
        <w:spacing w:after="160" w:before="280"/>
      </w:pPr>
      <w:r>
        <w:rPr>
          <w:b/>
          <w:bCs/>
          <w:color w:val="2E75B6"/>
          <w:sz w:val="28"/>
          <w:szCs w:val="28"/>
        </w:rPr>
        <w:t xml:space="preserve">Pipeline Timing</w:t>
      </w:r>
    </w:p>
    <w:p>
      <w:pPr>
        <w:spacing w:after="120" w:line="300"/>
        <w:jc w:val="left"/>
      </w:pPr>
      <w:r>
        <w:rPr>
          <w:sz w:val="22"/>
          <w:szCs w:val="22"/>
        </w:rPr>
        <w:t xml:space="preserve">The Coach Pipeline begins formal recruitment with the first Founding Charter graduates. The first Coach Training cohort runs in parallel with Late Charter delivery. By the time Final Charter and Standard pricing tiers are admitting participants, the first wave of TenXPros Certified Coaches is operational and accepting assignments.</w:t>
      </w:r>
    </w:p>
    <w:p>
      <w:pPr>
        <w:pStyle w:val="Heading2"/>
        <w:spacing w:after="160" w:before="280"/>
      </w:pPr>
      <w:r>
        <w:rPr>
          <w:b/>
          <w:bCs/>
          <w:color w:val="2E75B6"/>
          <w:sz w:val="28"/>
          <w:szCs w:val="28"/>
        </w:rPr>
        <w:t xml:space="preserve">Coach Performance and Continuation</w:t>
      </w:r>
    </w:p>
    <w:p>
      <w:pPr>
        <w:spacing w:after="120" w:line="300"/>
        <w:jc w:val="left"/>
      </w:pPr>
      <w:r>
        <w:rPr>
          <w:sz w:val="22"/>
          <w:szCs w:val="22"/>
        </w:rPr>
        <w:t xml:space="preserve">Coach assignments continue based on participant feedback, Dossier outcomes for coached participants, and ongoing community contribution. TenXPros retains the discretion to adjust coach assignments and coach pipeline membership based on these standards.</w:t>
      </w:r>
    </w:p>
    <w:p>
      <w:pPr>
        <w:pStyle w:val="Heading2"/>
        <w:spacing w:after="160" w:before="280"/>
      </w:pPr>
      <w:r>
        <w:rPr>
          <w:b/>
          <w:bCs/>
          <w:color w:val="2E75B6"/>
          <w:sz w:val="28"/>
          <w:szCs w:val="28"/>
        </w:rPr>
        <w:t xml:space="preserve">Why This Pipeline Matters Beyond Revenue</w:t>
      </w:r>
    </w:p>
    <w:p>
      <w:pPr>
        <w:spacing w:after="120" w:line="300"/>
        <w:jc w:val="left"/>
      </w:pPr>
      <w:r>
        <w:rPr>
          <w:sz w:val="22"/>
          <w:szCs w:val="22"/>
        </w:rPr>
        <w:t xml:space="preserve">The Coach Pipeline transforms the TenXPros community from a graduating cohort into a self-sustaining professional ecosystem. Founding Charter members who become coaches build their own client base inside the program. Late charter members who coach earn while their loyalty discount runs. Standard graduates who coach create a long-term professional identity around TenXPros. The community becomes a place where AI-ready domain experts not only certify but also teach, earn, refer, and build.</w:t>
      </w:r>
    </w:p>
    <w:p>
      <w:r>
        <w:br w:type="page"/>
      </w:r>
    </w:p>
    <w:p>
      <w:pPr>
        <w:pStyle w:val="Heading1"/>
        <w:spacing w:after="200" w:before="360"/>
      </w:pPr>
      <w:r>
        <w:rPr>
          <w:b/>
          <w:bCs/>
          <w:color w:val="1F4E79"/>
          <w:sz w:val="36"/>
          <w:szCs w:val="36"/>
        </w:rPr>
        <w:t xml:space="preserve">18. The TenXPros Community</w:t>
      </w:r>
    </w:p>
    <w:p>
      <w:pPr>
        <w:pStyle w:val="Heading2"/>
        <w:spacing w:after="160" w:before="280"/>
      </w:pPr>
      <w:r>
        <w:rPr>
          <w:b/>
          <w:bCs/>
          <w:color w:val="2E75B6"/>
          <w:sz w:val="28"/>
          <w:szCs w:val="28"/>
        </w:rPr>
        <w:t xml:space="preserve">Why the Community Matters</w:t>
      </w:r>
    </w:p>
    <w:p>
      <w:pPr>
        <w:spacing w:after="120" w:line="300"/>
        <w:jc w:val="left"/>
      </w:pPr>
      <w:r>
        <w:rPr>
          <w:sz w:val="22"/>
          <w:szCs w:val="22"/>
        </w:rPr>
        <w:t xml:space="preserve">Async delivery without community is isolation. Community is what turns a structured async program into a high-completion, high-value experience.</w:t>
      </w:r>
    </w:p>
    <w:p>
      <w:pPr>
        <w:pStyle w:val="Heading2"/>
        <w:spacing w:after="160" w:before="280"/>
      </w:pPr>
      <w:r>
        <w:rPr>
          <w:b/>
          <w:bCs/>
          <w:color w:val="2E75B6"/>
          <w:sz w:val="28"/>
          <w:szCs w:val="28"/>
        </w:rPr>
        <w:t xml:space="preserve">Community Structure</w:t>
      </w:r>
    </w:p>
    <w:p>
      <w:pPr>
        <w:pStyle w:val="Heading3"/>
        <w:spacing w:after="120" w:before="200"/>
      </w:pPr>
      <w:r>
        <w:rPr>
          <w:b/>
          <w:bCs/>
          <w:color w:val="404040"/>
          <w:sz w:val="24"/>
          <w:szCs w:val="24"/>
        </w:rPr>
        <w:t xml:space="preserve">Platform</w:t>
      </w:r>
    </w:p>
    <w:p>
      <w:pPr>
        <w:spacing w:after="120" w:line="300"/>
        <w:jc w:val="left"/>
      </w:pPr>
      <w:r>
        <w:rPr>
          <w:sz w:val="22"/>
          <w:szCs w:val="22"/>
        </w:rPr>
        <w:t xml:space="preserve">The community lives on a single chosen platform (Slack, Discord, or Circle) selected for fit with the participant audience and consistency across the program.</w:t>
      </w:r>
    </w:p>
    <w:p>
      <w:pPr>
        <w:pStyle w:val="Heading3"/>
        <w:spacing w:after="120" w:before="200"/>
      </w:pPr>
      <w:r>
        <w:rPr>
          <w:b/>
          <w:bCs/>
          <w:color w:val="404040"/>
          <w:sz w:val="24"/>
          <w:szCs w:val="24"/>
        </w:rPr>
        <w:t xml:space="preserve">Channels Organized by Phase</w:t>
      </w:r>
    </w:p>
    <w:p>
      <w:pPr>
        <w:pStyle w:val="ListParagraph"/>
        <w:numPr>
          <w:ilvl w:val="0"/>
          <w:numId w:val="2"/>
        </w:numPr>
        <w:spacing w:after="80" w:line="280"/>
      </w:pPr>
      <w:r>
        <w:rPr>
          <w:sz w:val="22"/>
          <w:szCs w:val="22"/>
        </w:rPr>
        <w:t xml:space="preserve">Phase 1 — Frame channels: problem framing, AI literacy questions, responsible AI boundaries.</w:t>
      </w:r>
    </w:p>
    <w:p>
      <w:pPr>
        <w:pStyle w:val="ListParagraph"/>
        <w:numPr>
          <w:ilvl w:val="0"/>
          <w:numId w:val="2"/>
        </w:numPr>
        <w:spacing w:after="80" w:line="280"/>
      </w:pPr>
      <w:r>
        <w:rPr>
          <w:sz w:val="22"/>
          <w:szCs w:val="22"/>
        </w:rPr>
        <w:t xml:space="preserve">Phase 2 — Design channels: evidence work, workflow mapping, solution design.</w:t>
      </w:r>
    </w:p>
    <w:p>
      <w:pPr>
        <w:pStyle w:val="ListParagraph"/>
        <w:numPr>
          <w:ilvl w:val="0"/>
          <w:numId w:val="2"/>
        </w:numPr>
        <w:spacing w:after="80" w:line="280"/>
      </w:pPr>
      <w:r>
        <w:rPr>
          <w:sz w:val="22"/>
          <w:szCs w:val="22"/>
        </w:rPr>
        <w:t xml:space="preserve">Phase 3 — Prove channels: adoption planning, value definition, proof logic.</w:t>
      </w:r>
    </w:p>
    <w:p>
      <w:pPr>
        <w:pStyle w:val="ListParagraph"/>
        <w:numPr>
          <w:ilvl w:val="0"/>
          <w:numId w:val="2"/>
        </w:numPr>
        <w:spacing w:after="80" w:line="280"/>
      </w:pPr>
      <w:r>
        <w:rPr>
          <w:sz w:val="22"/>
          <w:szCs w:val="22"/>
        </w:rPr>
        <w:t xml:space="preserve">Phase 4 — Foresee channels: scenarios, signal scanning, regulatory horizon.</w:t>
      </w:r>
    </w:p>
    <w:p>
      <w:pPr>
        <w:pStyle w:val="ListParagraph"/>
        <w:numPr>
          <w:ilvl w:val="0"/>
          <w:numId w:val="2"/>
        </w:numPr>
        <w:spacing w:after="80" w:line="280"/>
      </w:pPr>
      <w:r>
        <w:rPr>
          <w:sz w:val="22"/>
          <w:szCs w:val="22"/>
        </w:rPr>
        <w:t xml:space="preserve">Cross-cutting channels: introductions, general Q&amp;A, AI updates, milestone celebrations, and a dedicated Founding Charter channel for Tier 1 members.</w:t>
      </w:r>
    </w:p>
    <w:p>
      <w:pPr>
        <w:pStyle w:val="Heading3"/>
        <w:spacing w:after="120" w:before="200"/>
      </w:pPr>
      <w:r>
        <w:rPr>
          <w:b/>
          <w:bCs/>
          <w:color w:val="404040"/>
          <w:sz w:val="24"/>
          <w:szCs w:val="24"/>
        </w:rPr>
        <w:t xml:space="preserve">Peer Pairing Structure</w:t>
      </w:r>
    </w:p>
    <w:p>
      <w:pPr>
        <w:spacing w:after="120" w:line="300"/>
        <w:jc w:val="left"/>
      </w:pPr>
      <w:r>
        <w:rPr>
          <w:sz w:val="22"/>
          <w:szCs w:val="22"/>
        </w:rPr>
        <w:t xml:space="preserve">In Week 1, each participant is paired with a peer for asynchronous cross-feedback during Phase 1. In Week 5, pairings may rotate. This forced pairing is the single most important community design element.</w:t>
      </w:r>
    </w:p>
    <w:p>
      <w:pPr>
        <w:pStyle w:val="Heading3"/>
        <w:spacing w:after="120" w:before="200"/>
      </w:pPr>
      <w:r>
        <w:rPr>
          <w:b/>
          <w:bCs/>
          <w:color w:val="404040"/>
          <w:sz w:val="24"/>
          <w:szCs w:val="24"/>
        </w:rPr>
        <w:t xml:space="preserve">Monthly Async Challenges</w:t>
      </w:r>
    </w:p>
    <w:p>
      <w:pPr>
        <w:spacing w:after="120" w:line="300"/>
        <w:jc w:val="left"/>
      </w:pPr>
      <w:r>
        <w:rPr>
          <w:sz w:val="22"/>
          <w:szCs w:val="22"/>
        </w:rPr>
        <w:t xml:space="preserve">Each month, a community-wide async challenge invites every active participant to engage with a shared case study.</w:t>
      </w:r>
    </w:p>
    <w:p>
      <w:pPr>
        <w:pStyle w:val="Heading2"/>
        <w:spacing w:after="160" w:before="280"/>
      </w:pPr>
      <w:r>
        <w:rPr>
          <w:b/>
          <w:bCs/>
          <w:color w:val="2E75B6"/>
          <w:sz w:val="28"/>
          <w:szCs w:val="28"/>
        </w:rPr>
        <w:t xml:space="preserve">After Graduation</w:t>
      </w:r>
    </w:p>
    <w:p>
      <w:pPr>
        <w:spacing w:after="120" w:line="300"/>
        <w:jc w:val="left"/>
      </w:pPr>
      <w:r>
        <w:rPr>
          <w:sz w:val="22"/>
          <w:szCs w:val="22"/>
        </w:rPr>
        <w:t xml:space="preserve">Active program access concludes 30 days after the certification decision. Graduates retain access to the alumni section of the community, with continued participation tied to their One-Year Updates Access (see Section 25) and, beyond that, to TenXPro Radar membership.</w:t>
      </w:r>
    </w:p>
    <w:p>
      <w:pPr>
        <w:pStyle w:val="Heading2"/>
        <w:spacing w:after="160" w:before="280"/>
      </w:pPr>
      <w:r>
        <w:rPr>
          <w:b/>
          <w:bCs/>
          <w:color w:val="2E75B6"/>
          <w:sz w:val="28"/>
          <w:szCs w:val="28"/>
        </w:rPr>
        <w:t xml:space="preserve">Charter Tier Channel Access</w:t>
      </w:r>
    </w:p>
    <w:p>
      <w:pPr>
        <w:spacing w:after="120" w:line="300"/>
        <w:jc w:val="left"/>
      </w:pPr>
      <w:r>
        <w:rPr>
          <w:sz w:val="22"/>
          <w:szCs w:val="22"/>
        </w:rPr>
        <w:t xml:space="preserve">Each charter tier retains dedicated channel access for the duration of their updates window. Tier 1 (Founding Charter) members retain Founding Charter channel access for 24 months. This is detailed in Section 21.</w:t>
      </w:r>
    </w:p>
    <w:p>
      <w:r>
        <w:br w:type="page"/>
      </w:r>
    </w:p>
    <w:p>
      <w:pPr>
        <w:pStyle w:val="Heading1"/>
        <w:spacing w:after="200" w:before="360"/>
      </w:pPr>
      <w:r>
        <w:rPr>
          <w:b/>
          <w:bCs/>
          <w:color w:val="1F4E79"/>
          <w:sz w:val="36"/>
          <w:szCs w:val="36"/>
        </w:rPr>
        <w:t xml:space="preserve">19. Support Model and Fair Use</w:t>
      </w:r>
    </w:p>
    <w:p>
      <w:pPr>
        <w:pStyle w:val="Heading2"/>
        <w:spacing w:after="160" w:before="280"/>
      </w:pPr>
      <w:r>
        <w:rPr>
          <w:b/>
          <w:bCs/>
          <w:color w:val="2E75B6"/>
          <w:sz w:val="28"/>
          <w:szCs w:val="28"/>
        </w:rPr>
        <w:t xml:space="preserve">Ticket-Based Coach Support</w:t>
      </w:r>
    </w:p>
    <w:p>
      <w:pPr>
        <w:spacing w:after="120" w:line="300"/>
        <w:jc w:val="left"/>
      </w:pPr>
      <w:r>
        <w:rPr>
          <w:sz w:val="22"/>
          <w:szCs w:val="22"/>
        </w:rPr>
        <w:t xml:space="preserve">Throughout the program, participants may submit support tickets to their assigned coach for substantive questions about their work, the materials, or the path.</w:t>
      </w:r>
    </w:p>
    <w:p>
      <w:pPr>
        <w:pStyle w:val="Heading2"/>
        <w:spacing w:after="160" w:before="280"/>
      </w:pPr>
      <w:r>
        <w:rPr>
          <w:b/>
          <w:bCs/>
          <w:color w:val="2E75B6"/>
          <w:sz w:val="28"/>
          <w:szCs w:val="28"/>
        </w:rPr>
        <w:t xml:space="preserve">Fair Use During the Program</w:t>
      </w:r>
    </w:p>
    <w:p>
      <w:pPr>
        <w:pStyle w:val="ListParagraph"/>
        <w:numPr>
          <w:ilvl w:val="0"/>
          <w:numId w:val="2"/>
        </w:numPr>
        <w:spacing w:after="80" w:line="280"/>
      </w:pPr>
      <w:r>
        <w:rPr>
          <w:sz w:val="22"/>
          <w:szCs w:val="22"/>
        </w:rPr>
        <w:t xml:space="preserve">Up to three active tickets per week, per participant.</w:t>
      </w:r>
    </w:p>
    <w:p>
      <w:pPr>
        <w:pStyle w:val="ListParagraph"/>
        <w:numPr>
          <w:ilvl w:val="0"/>
          <w:numId w:val="2"/>
        </w:numPr>
        <w:spacing w:after="80" w:line="280"/>
      </w:pPr>
      <w:r>
        <w:rPr>
          <w:sz w:val="22"/>
          <w:szCs w:val="22"/>
        </w:rPr>
        <w:t xml:space="preserve">Standard response: within 72 business hours.</w:t>
      </w:r>
    </w:p>
    <w:p>
      <w:pPr>
        <w:pStyle w:val="ListParagraph"/>
        <w:numPr>
          <w:ilvl w:val="0"/>
          <w:numId w:val="2"/>
        </w:numPr>
        <w:spacing w:after="80" w:line="280"/>
      </w:pPr>
      <w:r>
        <w:rPr>
          <w:sz w:val="22"/>
          <w:szCs w:val="22"/>
        </w:rPr>
        <w:t xml:space="preserve">Best-effort response: within 24 business hours.</w:t>
      </w:r>
    </w:p>
    <w:p>
      <w:pPr>
        <w:pStyle w:val="ListParagraph"/>
        <w:numPr>
          <w:ilvl w:val="0"/>
          <w:numId w:val="2"/>
        </w:numPr>
        <w:spacing w:after="80" w:line="280"/>
      </w:pPr>
      <w:r>
        <w:rPr>
          <w:sz w:val="22"/>
          <w:szCs w:val="22"/>
        </w:rPr>
        <w:t xml:space="preserve">Tickets should be specific and well-framed; one issue per ticket.</w:t>
      </w:r>
    </w:p>
    <w:p>
      <w:pPr>
        <w:pStyle w:val="Heading2"/>
        <w:spacing w:after="160" w:before="280"/>
      </w:pPr>
      <w:r>
        <w:rPr>
          <w:b/>
          <w:bCs/>
          <w:color w:val="2E75B6"/>
          <w:sz w:val="28"/>
          <w:szCs w:val="28"/>
        </w:rPr>
        <w:t xml:space="preserve">Post-Program Support Window</w:t>
      </w:r>
    </w:p>
    <w:p>
      <w:pPr>
        <w:spacing w:after="120" w:line="300"/>
        <w:jc w:val="left"/>
      </w:pPr>
      <w:r>
        <w:rPr>
          <w:sz w:val="22"/>
          <w:szCs w:val="22"/>
        </w:rPr>
        <w:t xml:space="preserve">For the first 30 days after the certification decision, participants may continue to submit support tickets at a reduced cadence:</w:t>
      </w:r>
    </w:p>
    <w:p>
      <w:pPr>
        <w:pStyle w:val="ListParagraph"/>
        <w:numPr>
          <w:ilvl w:val="0"/>
          <w:numId w:val="2"/>
        </w:numPr>
        <w:spacing w:after="80" w:line="280"/>
      </w:pPr>
      <w:r>
        <w:rPr>
          <w:sz w:val="22"/>
          <w:szCs w:val="22"/>
        </w:rPr>
        <w:t xml:space="preserve">Up to one active ticket per week.</w:t>
      </w:r>
    </w:p>
    <w:p>
      <w:pPr>
        <w:pStyle w:val="ListParagraph"/>
        <w:numPr>
          <w:ilvl w:val="0"/>
          <w:numId w:val="2"/>
        </w:numPr>
        <w:spacing w:after="80" w:line="280"/>
      </w:pPr>
      <w:r>
        <w:rPr>
          <w:sz w:val="22"/>
          <w:szCs w:val="22"/>
        </w:rPr>
        <w:t xml:space="preserve">Standard response: within 72 business hours.</w:t>
      </w:r>
    </w:p>
    <w:p>
      <w:pPr>
        <w:spacing w:after="200"/>
      </w:pPr>
    </w:p>
    <w:p>
      <w:pPr>
        <w:spacing w:after="120" w:line="300"/>
        <w:jc w:val="left"/>
      </w:pPr>
      <w:r>
        <w:rPr>
          <w:sz w:val="22"/>
          <w:szCs w:val="22"/>
        </w:rPr>
        <w:t xml:space="preserve">This post-program window helps participants apply the Dossier in real work and address questions that arise during initial implementation.</w:t>
      </w:r>
    </w:p>
    <w:p>
      <w:pPr>
        <w:pStyle w:val="Heading2"/>
        <w:spacing w:after="160" w:before="280"/>
      </w:pPr>
      <w:r>
        <w:rPr>
          <w:b/>
          <w:bCs/>
          <w:color w:val="2E75B6"/>
          <w:sz w:val="28"/>
          <w:szCs w:val="28"/>
        </w:rPr>
        <w:t xml:space="preserve">What Tickets Cover</w:t>
      </w:r>
    </w:p>
    <w:p>
      <w:pPr>
        <w:pStyle w:val="ListParagraph"/>
        <w:numPr>
          <w:ilvl w:val="0"/>
          <w:numId w:val="2"/>
        </w:numPr>
        <w:spacing w:after="80" w:line="280"/>
      </w:pPr>
      <w:r>
        <w:rPr>
          <w:sz w:val="22"/>
          <w:szCs w:val="22"/>
        </w:rPr>
        <w:t xml:space="preserve">Questions about the current module or assignment.</w:t>
      </w:r>
    </w:p>
    <w:p>
      <w:pPr>
        <w:pStyle w:val="ListParagraph"/>
        <w:numPr>
          <w:ilvl w:val="0"/>
          <w:numId w:val="2"/>
        </w:numPr>
        <w:spacing w:after="80" w:line="280"/>
      </w:pPr>
      <w:r>
        <w:rPr>
          <w:sz w:val="22"/>
          <w:szCs w:val="22"/>
        </w:rPr>
        <w:t xml:space="preserve">Clarification on a required artifact.</w:t>
      </w:r>
    </w:p>
    <w:p>
      <w:pPr>
        <w:pStyle w:val="ListParagraph"/>
        <w:numPr>
          <w:ilvl w:val="0"/>
          <w:numId w:val="2"/>
        </w:numPr>
        <w:spacing w:after="80" w:line="280"/>
      </w:pPr>
      <w:r>
        <w:rPr>
          <w:sz w:val="22"/>
          <w:szCs w:val="22"/>
        </w:rPr>
        <w:t xml:space="preserve">Help refining a Dossier section.</w:t>
      </w:r>
    </w:p>
    <w:p>
      <w:pPr>
        <w:pStyle w:val="ListParagraph"/>
        <w:numPr>
          <w:ilvl w:val="0"/>
          <w:numId w:val="2"/>
        </w:numPr>
        <w:spacing w:after="80" w:line="280"/>
      </w:pPr>
      <w:r>
        <w:rPr>
          <w:sz w:val="22"/>
          <w:szCs w:val="22"/>
        </w:rPr>
        <w:t xml:space="preserve">AI suitability or risk interpretation questions.</w:t>
      </w:r>
    </w:p>
    <w:p>
      <w:pPr>
        <w:pStyle w:val="ListParagraph"/>
        <w:numPr>
          <w:ilvl w:val="0"/>
          <w:numId w:val="2"/>
        </w:numPr>
        <w:spacing w:after="80" w:line="280"/>
      </w:pPr>
      <w:r>
        <w:rPr>
          <w:sz w:val="22"/>
          <w:szCs w:val="22"/>
        </w:rPr>
        <w:t xml:space="preserve">Evidence and verification questions.</w:t>
      </w:r>
    </w:p>
    <w:p>
      <w:pPr>
        <w:pStyle w:val="ListParagraph"/>
        <w:numPr>
          <w:ilvl w:val="0"/>
          <w:numId w:val="2"/>
        </w:numPr>
        <w:spacing w:after="80" w:line="280"/>
      </w:pPr>
      <w:r>
        <w:rPr>
          <w:sz w:val="22"/>
          <w:szCs w:val="22"/>
        </w:rPr>
        <w:t xml:space="preserve">Workflow mapping help.</w:t>
      </w:r>
    </w:p>
    <w:p>
      <w:pPr>
        <w:pStyle w:val="ListParagraph"/>
        <w:numPr>
          <w:ilvl w:val="0"/>
          <w:numId w:val="2"/>
        </w:numPr>
        <w:spacing w:after="80" w:line="280"/>
      </w:pPr>
      <w:r>
        <w:rPr>
          <w:sz w:val="22"/>
          <w:szCs w:val="22"/>
        </w:rPr>
        <w:t xml:space="preserve">Foresight scenario refinement.</w:t>
      </w:r>
    </w:p>
    <w:p>
      <w:pPr>
        <w:pStyle w:val="ListParagraph"/>
        <w:numPr>
          <w:ilvl w:val="0"/>
          <w:numId w:val="2"/>
        </w:numPr>
        <w:spacing w:after="80" w:line="280"/>
      </w:pPr>
      <w:r>
        <w:rPr>
          <w:sz w:val="22"/>
          <w:szCs w:val="22"/>
        </w:rPr>
        <w:t xml:space="preserve">Capstone preparation guidance.</w:t>
      </w:r>
    </w:p>
    <w:p>
      <w:pPr>
        <w:pStyle w:val="Heading2"/>
        <w:spacing w:after="160" w:before="280"/>
      </w:pPr>
      <w:r>
        <w:rPr>
          <w:b/>
          <w:bCs/>
          <w:color w:val="2E75B6"/>
          <w:sz w:val="28"/>
          <w:szCs w:val="28"/>
        </w:rPr>
        <w:t xml:space="preserve">What Tickets Do Not Cover</w:t>
      </w:r>
    </w:p>
    <w:p>
      <w:pPr>
        <w:pStyle w:val="ListParagraph"/>
        <w:numPr>
          <w:ilvl w:val="0"/>
          <w:numId w:val="2"/>
        </w:numPr>
        <w:spacing w:after="80" w:line="280"/>
      </w:pPr>
      <w:r>
        <w:rPr>
          <w:sz w:val="22"/>
          <w:szCs w:val="22"/>
        </w:rPr>
        <w:t xml:space="preserve">Unlimited consulting outside the participant's enrolled problem.</w:t>
      </w:r>
    </w:p>
    <w:p>
      <w:pPr>
        <w:pStyle w:val="ListParagraph"/>
        <w:numPr>
          <w:ilvl w:val="0"/>
          <w:numId w:val="2"/>
        </w:numPr>
        <w:spacing w:after="80" w:line="280"/>
      </w:pPr>
      <w:r>
        <w:rPr>
          <w:sz w:val="22"/>
          <w:szCs w:val="22"/>
        </w:rPr>
        <w:t xml:space="preserve">Done-for-you work on artifacts or the Dossier.</w:t>
      </w:r>
    </w:p>
    <w:p>
      <w:pPr>
        <w:pStyle w:val="ListParagraph"/>
        <w:numPr>
          <w:ilvl w:val="0"/>
          <w:numId w:val="2"/>
        </w:numPr>
        <w:spacing w:after="80" w:line="280"/>
      </w:pPr>
      <w:r>
        <w:rPr>
          <w:sz w:val="22"/>
          <w:szCs w:val="22"/>
        </w:rPr>
        <w:t xml:space="preserve">Full solution design by the coach or founder.</w:t>
      </w:r>
    </w:p>
    <w:p>
      <w:pPr>
        <w:pStyle w:val="ListParagraph"/>
        <w:numPr>
          <w:ilvl w:val="0"/>
          <w:numId w:val="2"/>
        </w:numPr>
        <w:spacing w:after="80" w:line="280"/>
      </w:pPr>
      <w:r>
        <w:rPr>
          <w:sz w:val="22"/>
          <w:szCs w:val="22"/>
        </w:rPr>
        <w:t xml:space="preserve">Expert legal, medical, financial, or compliance advice.</w:t>
      </w:r>
    </w:p>
    <w:p>
      <w:pPr>
        <w:pStyle w:val="ListParagraph"/>
        <w:numPr>
          <w:ilvl w:val="0"/>
          <w:numId w:val="2"/>
        </w:numPr>
        <w:spacing w:after="80" w:line="280"/>
      </w:pPr>
      <w:r>
        <w:rPr>
          <w:sz w:val="22"/>
          <w:szCs w:val="22"/>
        </w:rPr>
        <w:t xml:space="preserve">Unlimited Dossier review beyond the included milestone feedback.</w:t>
      </w:r>
    </w:p>
    <w:p>
      <w:pPr>
        <w:pStyle w:val="ListParagraph"/>
        <w:numPr>
          <w:ilvl w:val="0"/>
          <w:numId w:val="2"/>
        </w:numPr>
        <w:spacing w:after="80" w:line="280"/>
      </w:pPr>
      <w:r>
        <w:rPr>
          <w:sz w:val="22"/>
          <w:szCs w:val="22"/>
        </w:rPr>
        <w:t xml:space="preserve">Unlimited revisions of submitted artifacts.</w:t>
      </w:r>
    </w:p>
    <w:p>
      <w:r>
        <w:br w:type="page"/>
      </w:r>
    </w:p>
    <w:p>
      <w:pPr>
        <w:pStyle w:val="Heading1"/>
        <w:spacing w:after="200" w:before="360"/>
      </w:pPr>
      <w:r>
        <w:rPr>
          <w:b/>
          <w:bCs/>
          <w:color w:val="1F4E79"/>
          <w:sz w:val="36"/>
          <w:szCs w:val="36"/>
        </w:rPr>
        <w:t xml:space="preserve">20. Module Miss and Re-Entry Policy</w:t>
      </w:r>
    </w:p>
    <w:p>
      <w:pPr>
        <w:pStyle w:val="Heading2"/>
        <w:spacing w:after="160" w:before="280"/>
      </w:pPr>
      <w:r>
        <w:rPr>
          <w:b/>
          <w:bCs/>
          <w:color w:val="2E75B6"/>
          <w:sz w:val="28"/>
          <w:szCs w:val="28"/>
        </w:rPr>
        <w:t xml:space="preserve">If a Participant Misses or Fails a Module</w:t>
      </w:r>
    </w:p>
    <w:p>
      <w:pPr>
        <w:spacing w:after="120" w:line="300"/>
        <w:jc w:val="left"/>
      </w:pPr>
      <w:r>
        <w:rPr>
          <w:sz w:val="22"/>
          <w:szCs w:val="22"/>
        </w:rPr>
        <w:t xml:space="preserve">If a participant fails to complete a module within the defined window, or fails the module assessment, two paths are available:</w:t>
      </w:r>
    </w:p>
    <w:p>
      <w:pPr>
        <w:pStyle w:val="Heading3"/>
        <w:spacing w:after="120" w:before="200"/>
      </w:pPr>
      <w:r>
        <w:rPr>
          <w:b/>
          <w:bCs/>
          <w:color w:val="404040"/>
          <w:sz w:val="24"/>
          <w:szCs w:val="24"/>
        </w:rPr>
        <w:t xml:space="preserve">Path 1: Justified Continuation</w:t>
      </w:r>
    </w:p>
    <w:p>
      <w:pPr>
        <w:spacing w:after="120" w:line="300"/>
        <w:jc w:val="left"/>
      </w:pPr>
      <w:r>
        <w:rPr>
          <w:sz w:val="22"/>
          <w:szCs w:val="22"/>
        </w:rPr>
        <w:t xml:space="preserve">If the participant has a valid reason (documented illness, family emergency, significant work disruption, or other recognized circumstance), the coach may grant an extension and the participant may continue without additional cost. The coach makes this determination based on the participant's submitted justification.</w:t>
      </w:r>
    </w:p>
    <w:p>
      <w:pPr>
        <w:pStyle w:val="Heading3"/>
        <w:spacing w:after="120" w:before="200"/>
      </w:pPr>
      <w:r>
        <w:rPr>
          <w:b/>
          <w:bCs/>
          <w:color w:val="404040"/>
          <w:sz w:val="24"/>
          <w:szCs w:val="24"/>
        </w:rPr>
        <w:t xml:space="preserve">Path 2: Re-Entry</w:t>
      </w:r>
    </w:p>
    <w:p>
      <w:pPr>
        <w:spacing w:after="120" w:line="300"/>
        <w:jc w:val="left"/>
      </w:pPr>
      <w:r>
        <w:rPr>
          <w:sz w:val="22"/>
          <w:szCs w:val="22"/>
        </w:rPr>
        <w:t xml:space="preserve">If the participant misses a module without valid justification, or chooses to restart, they may re-enter the program at 50% of the price they originally paid. This re-entry pricing applies regardless of how much time has passed.</w:t>
      </w:r>
    </w:p>
    <w:p>
      <w:pPr>
        <w:pStyle w:val="Heading2"/>
        <w:spacing w:after="160" w:before="280"/>
      </w:pPr>
      <w:r>
        <w:rPr>
          <w:b/>
          <w:bCs/>
          <w:color w:val="2E75B6"/>
          <w:sz w:val="28"/>
          <w:szCs w:val="28"/>
        </w:rPr>
        <w:t xml:space="preserve">Why This Policy</w:t>
      </w:r>
    </w:p>
    <w:p>
      <w:pPr>
        <w:spacing w:after="120" w:line="300"/>
        <w:jc w:val="left"/>
      </w:pPr>
      <w:r>
        <w:rPr>
          <w:sz w:val="22"/>
          <w:szCs w:val="22"/>
        </w:rPr>
        <w:t xml:space="preserve">The policy balances two principles. First, life happens, and serious professionals should not lose their commitment to a fixable disruption. Second, the program represents real coach time and structured assessment, and ongoing access cannot be open-ended.</w:t>
      </w:r>
    </w:p>
    <w:p>
      <w:pPr>
        <w:spacing w:after="200"/>
      </w:pPr>
    </w:p>
    <w:p>
      <w:pPr>
        <w:spacing w:after="120" w:line="300"/>
        <w:jc w:val="left"/>
      </w:pPr>
      <w:r>
        <w:rPr>
          <w:sz w:val="22"/>
          <w:szCs w:val="22"/>
        </w:rPr>
        <w:t xml:space="preserve">Re-entry at 50% acknowledges both: the participant has already paid for materials and has demonstrated interest, but a re-entry requires renewed coach time and assessment work.</w:t>
      </w:r>
    </w:p>
    <w:p>
      <w:r>
        <w:br w:type="page"/>
      </w:r>
    </w:p>
    <w:p>
      <w:pPr>
        <w:pStyle w:val="Heading1"/>
        <w:spacing w:after="200" w:before="360"/>
      </w:pPr>
      <w:r>
        <w:rPr>
          <w:b/>
          <w:bCs/>
          <w:color w:val="1F4E79"/>
          <w:sz w:val="36"/>
          <w:szCs w:val="36"/>
        </w:rPr>
        <w:t xml:space="preserve">21. Five-Tier Charter Pricing</w:t>
      </w:r>
    </w:p>
    <w:p>
      <w:pPr>
        <w:pStyle w:val="Heading2"/>
        <w:spacing w:after="160" w:before="280"/>
      </w:pPr>
      <w:r>
        <w:rPr>
          <w:b/>
          <w:bCs/>
          <w:color w:val="2E75B6"/>
          <w:sz w:val="28"/>
          <w:szCs w:val="28"/>
        </w:rPr>
        <w:t xml:space="preserve">The Pricing Philosophy</w:t>
      </w:r>
    </w:p>
    <w:p>
      <w:pPr>
        <w:spacing w:after="120" w:line="300"/>
        <w:jc w:val="left"/>
      </w:pPr>
      <w:r>
        <w:rPr>
          <w:sz w:val="22"/>
          <w:szCs w:val="22"/>
        </w:rPr>
        <w:t xml:space="preserve">TenXPros uses a five-tier charter pricing structure that creates honest scarcity, fair recognition of risk taken by early members, and a transparent path to standard pricing. Each tier opens only after the previous tier closes.</w:t>
      </w:r>
    </w:p>
    <w:p>
      <w:pPr>
        <w:spacing w:after="200"/>
      </w:pPr>
    </w:p>
    <w:p>
      <w:pPr>
        <w:spacing w:after="120" w:line="300"/>
        <w:jc w:val="left"/>
      </w:pPr>
      <w:r>
        <w:rPr>
          <w:sz w:val="22"/>
          <w:szCs w:val="22"/>
        </w:rPr>
        <w:t xml:space="preserve">This structure is not a marketing manipulation. It reflects a real principle: members who join earliest take on more risk (no testimonials, no published case studies, no proven track record) and therefore receive a different — not better, different — package of benefits.</w:t>
      </w:r>
    </w:p>
    <w:p>
      <w:pPr>
        <w:pStyle w:val="Heading2"/>
        <w:spacing w:after="160" w:before="280"/>
      </w:pPr>
      <w:r>
        <w:rPr>
          <w:b/>
          <w:bCs/>
          <w:color w:val="2E75B6"/>
          <w:sz w:val="28"/>
          <w:szCs w:val="28"/>
        </w:rPr>
        <w:t xml:space="preserve">The Tier Structure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30"/>
        <w:gridCol w:w="223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2"/>
                <w:szCs w:val="22"/>
              </w:rPr>
              <w:t xml:space="preserve">Tier</w:t>
            </w:r>
          </w:p>
        </w:tc>
        <w:tc>
          <w:tcPr>
            <w:tcW w:type="dxa" w:w="220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2"/>
                <w:szCs w:val="22"/>
              </w:rPr>
              <w:t xml:space="preserve">Members</w:t>
            </w:r>
          </w:p>
        </w:tc>
        <w:tc>
          <w:tcPr>
            <w:tcW w:type="dxa" w:w="223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2"/>
                <w:szCs w:val="22"/>
              </w:rPr>
              <w:t xml:space="preserve">Price (USD)</w:t>
            </w:r>
          </w:p>
        </w:tc>
        <w:tc>
          <w:tcPr>
            <w:tcW w:type="dxa" w:w="223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2"/>
                <w:szCs w:val="22"/>
              </w:rPr>
              <w:t xml:space="preserve">Coach</w:t>
            </w:r>
          </w:p>
        </w:tc>
      </w:tr>
      <w:tr>
        <w:tc>
          <w:tcPr>
            <w:tcW w:type="dxa" w:w="27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Founding Charter</w:t>
            </w:r>
          </w:p>
        </w:tc>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1 – 10</w:t>
            </w:r>
          </w:p>
        </w:tc>
        <w:tc>
          <w:tcPr>
            <w:tcW w:type="dxa" w:w="223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$997</w:t>
            </w:r>
          </w:p>
        </w:tc>
        <w:tc>
          <w:tcPr>
            <w:tcW w:type="dxa" w:w="223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Founder-led</w:t>
            </w:r>
          </w:p>
        </w:tc>
      </w:tr>
      <w:tr>
        <w:tc>
          <w:tcPr>
            <w:tcW w:type="dxa" w:w="27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Early Charter</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11 – 20</w:t>
            </w:r>
          </w:p>
        </w:tc>
        <w:tc>
          <w:tcPr>
            <w:tcW w:type="dxa" w:w="223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$1,247</w:t>
            </w:r>
          </w:p>
        </w:tc>
        <w:tc>
          <w:tcPr>
            <w:tcW w:type="dxa" w:w="223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Founder-led</w:t>
            </w:r>
          </w:p>
        </w:tc>
      </w:tr>
      <w:tr>
        <w:tc>
          <w:tcPr>
            <w:tcW w:type="dxa" w:w="27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Late Charter</w:t>
            </w:r>
          </w:p>
        </w:tc>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21 – 30</w:t>
            </w:r>
          </w:p>
        </w:tc>
        <w:tc>
          <w:tcPr>
            <w:tcW w:type="dxa" w:w="223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$1,497</w:t>
            </w:r>
          </w:p>
        </w:tc>
        <w:tc>
          <w:tcPr>
            <w:tcW w:type="dxa" w:w="223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Founder-led</w:t>
            </w:r>
          </w:p>
        </w:tc>
      </w:tr>
      <w:tr>
        <w:tc>
          <w:tcPr>
            <w:tcW w:type="dxa" w:w="27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Final Charter</w:t>
            </w:r>
          </w:p>
        </w:tc>
        <w:tc>
          <w:tcPr>
            <w:tcW w:type="dxa" w:w="22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31 – 40</w:t>
            </w:r>
          </w:p>
        </w:tc>
        <w:tc>
          <w:tcPr>
            <w:tcW w:type="dxa" w:w="223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$1,747</w:t>
            </w:r>
          </w:p>
        </w:tc>
        <w:tc>
          <w:tcPr>
            <w:tcW w:type="dxa" w:w="223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TXP coach team</w:t>
            </w:r>
          </w:p>
        </w:tc>
      </w:tr>
      <w:tr>
        <w:tc>
          <w:tcPr>
            <w:tcW w:type="dxa" w:w="27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Standard</w:t>
            </w:r>
          </w:p>
        </w:tc>
        <w:tc>
          <w:tcPr>
            <w:tcW w:type="dxa" w:w="22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41 – 99</w:t>
            </w:r>
          </w:p>
        </w:tc>
        <w:tc>
          <w:tcPr>
            <w:tcW w:type="dxa" w:w="223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$1,997</w:t>
            </w:r>
          </w:p>
        </w:tc>
        <w:tc>
          <w:tcPr>
            <w:tcW w:type="dxa" w:w="223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TXP coach team</w:t>
            </w:r>
          </w:p>
        </w:tc>
      </w:tr>
    </w:tbl>
    <w:p>
      <w:pPr>
        <w:pStyle w:val="Heading2"/>
        <w:spacing w:after="160" w:before="280"/>
      </w:pPr>
      <w:r>
        <w:rPr>
          <w:b/>
          <w:bCs/>
          <w:color w:val="2E75B6"/>
          <w:sz w:val="28"/>
          <w:szCs w:val="28"/>
        </w:rPr>
        <w:t xml:space="preserve">After Member 99</w:t>
      </w:r>
    </w:p>
    <w:p>
      <w:pPr>
        <w:spacing w:after="120" w:line="300"/>
        <w:jc w:val="left"/>
      </w:pPr>
      <w:r>
        <w:rPr>
          <w:sz w:val="22"/>
          <w:szCs w:val="22"/>
        </w:rPr>
        <w:t xml:space="preserve">Standard pricing increases by $500 for every 100 new members admitted to the program. The first $500 increase activates when member 100 is admitted, bringing the price to $2,497. This progression reflects the growing proof base, the maturing coach team, the deepening methodology, and the rising market demand expected as alumni share their outcomes.</w:t>
      </w:r>
    </w:p>
    <w:p>
      <w:pPr>
        <w:pStyle w:val="Heading2"/>
        <w:spacing w:after="160" w:before="280"/>
      </w:pPr>
      <w:r>
        <w:rPr>
          <w:b/>
          <w:bCs/>
          <w:color w:val="2E75B6"/>
          <w:sz w:val="28"/>
          <w:szCs w:val="28"/>
        </w:rPr>
        <w:t xml:space="preserve">Tier Activation Rules</w:t>
      </w:r>
    </w:p>
    <w:p>
      <w:pPr>
        <w:pStyle w:val="ListParagraph"/>
        <w:numPr>
          <w:ilvl w:val="0"/>
          <w:numId w:val="2"/>
        </w:numPr>
        <w:spacing w:after="80" w:line="280"/>
      </w:pPr>
      <w:r>
        <w:rPr>
          <w:sz w:val="22"/>
          <w:szCs w:val="22"/>
        </w:rPr>
        <w:t xml:space="preserve">Each tier opens only after the previous tier has reached its full count of admitted members.</w:t>
      </w:r>
    </w:p>
    <w:p>
      <w:pPr>
        <w:pStyle w:val="ListParagraph"/>
        <w:numPr>
          <w:ilvl w:val="0"/>
          <w:numId w:val="2"/>
        </w:numPr>
        <w:spacing w:after="80" w:line="280"/>
      </w:pPr>
      <w:r>
        <w:rPr>
          <w:sz w:val="22"/>
          <w:szCs w:val="22"/>
        </w:rPr>
        <w:t xml:space="preserve">Tier closures are public and dated. When a tier closes, the next tier price applies to all new admissions.</w:t>
      </w:r>
    </w:p>
    <w:p>
      <w:pPr>
        <w:pStyle w:val="ListParagraph"/>
        <w:numPr>
          <w:ilvl w:val="0"/>
          <w:numId w:val="2"/>
        </w:numPr>
        <w:spacing w:after="80" w:line="280"/>
      </w:pPr>
      <w:r>
        <w:rPr>
          <w:sz w:val="22"/>
          <w:szCs w:val="22"/>
        </w:rPr>
        <w:t xml:space="preserve">No discounts are offered outside the published tier structure. No scholarships are offered during the charter period.</w:t>
      </w:r>
    </w:p>
    <w:p>
      <w:pPr>
        <w:pStyle w:val="ListParagraph"/>
        <w:numPr>
          <w:ilvl w:val="0"/>
          <w:numId w:val="2"/>
        </w:numPr>
        <w:spacing w:after="80" w:line="280"/>
      </w:pPr>
      <w:r>
        <w:rPr>
          <w:sz w:val="22"/>
          <w:szCs w:val="22"/>
        </w:rPr>
        <w:t xml:space="preserve">Re-entry pricing for members who restart is 50% of their original tier price (see Section 20).</w:t>
      </w:r>
    </w:p>
    <w:p>
      <w:r>
        <w:br w:type="page"/>
      </w:r>
    </w:p>
    <w:p>
      <w:pPr>
        <w:pStyle w:val="Heading1"/>
        <w:spacing w:after="200" w:before="360"/>
      </w:pPr>
      <w:r>
        <w:rPr>
          <w:b/>
          <w:bCs/>
          <w:color w:val="1F4E79"/>
          <w:sz w:val="36"/>
          <w:szCs w:val="36"/>
        </w:rPr>
        <w:t xml:space="preserve">22. Charter Benefits by Tier</w:t>
      </w:r>
    </w:p>
    <w:p>
      <w:pPr>
        <w:spacing w:after="120" w:line="300"/>
        <w:jc w:val="left"/>
      </w:pPr>
      <w:r>
        <w:rPr>
          <w:sz w:val="22"/>
          <w:szCs w:val="22"/>
        </w:rPr>
        <w:t xml:space="preserve">Each charter tier receives a distinct package of benefits. The benefits reflect the real value of joining at that moment in the program's life — not a hierarchy of access quality. Every tier receives the same coach support, the same eleven modules, the same Capstone review, and the same certification standard.</w:t>
      </w:r>
    </w:p>
    <w:p>
      <w:pPr>
        <w:pStyle w:val="Heading2"/>
        <w:spacing w:after="160" w:before="280"/>
      </w:pPr>
      <w:r>
        <w:rPr>
          <w:b/>
          <w:bCs/>
          <w:color w:val="2E75B6"/>
          <w:sz w:val="28"/>
          <w:szCs w:val="28"/>
        </w:rPr>
        <w:t xml:space="preserve">Tier 1 — Founding Charter (Members 1-10): $997</w:t>
      </w:r>
    </w:p>
    <w:p>
      <w:pPr>
        <w:pStyle w:val="ListParagraph"/>
        <w:numPr>
          <w:ilvl w:val="0"/>
          <w:numId w:val="2"/>
        </w:numPr>
        <w:spacing w:after="80" w:line="280"/>
      </w:pPr>
      <w:r>
        <w:rPr>
          <w:sz w:val="22"/>
          <w:szCs w:val="22"/>
        </w:rPr>
        <w:t xml:space="preserve">Founder-led coaching for the entire 12 weeks.</w:t>
      </w:r>
    </w:p>
    <w:p>
      <w:pPr>
        <w:pStyle w:val="ListParagraph"/>
        <w:numPr>
          <w:ilvl w:val="0"/>
          <w:numId w:val="2"/>
        </w:numPr>
        <w:spacing w:after="80" w:line="280"/>
      </w:pPr>
      <w:r>
        <w:rPr>
          <w:sz w:val="22"/>
          <w:szCs w:val="22"/>
        </w:rPr>
        <w:t xml:space="preserve">18 months of access to all program updates and new module materials.</w:t>
      </w:r>
    </w:p>
    <w:p>
      <w:pPr>
        <w:pStyle w:val="ListParagraph"/>
        <w:numPr>
          <w:ilvl w:val="0"/>
          <w:numId w:val="2"/>
        </w:numPr>
        <w:spacing w:after="80" w:line="280"/>
      </w:pPr>
      <w:r>
        <w:rPr>
          <w:sz w:val="22"/>
          <w:szCs w:val="22"/>
        </w:rPr>
        <w:t xml:space="preserve">25% loyalty discount on all future TenXPros products, programs, and consultations — valid for 3 years from program start.</w:t>
      </w:r>
    </w:p>
    <w:p>
      <w:pPr>
        <w:pStyle w:val="ListParagraph"/>
        <w:numPr>
          <w:ilvl w:val="0"/>
          <w:numId w:val="2"/>
        </w:numPr>
        <w:spacing w:after="80" w:line="280"/>
      </w:pPr>
      <w:r>
        <w:rPr>
          <w:sz w:val="22"/>
          <w:szCs w:val="22"/>
        </w:rPr>
        <w:t xml:space="preserve">Founding Member badge in the community.</w:t>
      </w:r>
    </w:p>
    <w:p>
      <w:pPr>
        <w:pStyle w:val="ListParagraph"/>
        <w:numPr>
          <w:ilvl w:val="0"/>
          <w:numId w:val="2"/>
        </w:numPr>
        <w:spacing w:after="80" w:line="280"/>
      </w:pPr>
      <w:r>
        <w:rPr>
          <w:sz w:val="22"/>
          <w:szCs w:val="22"/>
        </w:rPr>
        <w:t xml:space="preserve">Name (with permission) listed as a founding cohort member on the TenXPros website.</w:t>
      </w:r>
    </w:p>
    <w:p>
      <w:pPr>
        <w:pStyle w:val="ListParagraph"/>
        <w:numPr>
          <w:ilvl w:val="0"/>
          <w:numId w:val="2"/>
        </w:numPr>
        <w:spacing w:after="80" w:line="280"/>
      </w:pPr>
      <w:r>
        <w:rPr>
          <w:sz w:val="22"/>
          <w:szCs w:val="22"/>
        </w:rPr>
        <w:t xml:space="preserve">Permanent access to the dedicated Founding Charter community channel.</w:t>
      </w:r>
    </w:p>
    <w:p>
      <w:pPr>
        <w:pStyle w:val="ListParagraph"/>
        <w:numPr>
          <w:ilvl w:val="0"/>
          <w:numId w:val="2"/>
        </w:numPr>
        <w:spacing w:after="80" w:line="280"/>
      </w:pPr>
      <w:r>
        <w:rPr>
          <w:sz w:val="22"/>
          <w:szCs w:val="22"/>
        </w:rPr>
        <w:t xml:space="preserve">Featured profile in the TenXPros Directory upon certification.</w:t>
      </w:r>
    </w:p>
    <w:p>
      <w:pPr>
        <w:pStyle w:val="Heading2"/>
        <w:spacing w:after="160" w:before="280"/>
      </w:pPr>
      <w:r>
        <w:rPr>
          <w:b/>
          <w:bCs/>
          <w:color w:val="2E75B6"/>
          <w:sz w:val="28"/>
          <w:szCs w:val="28"/>
        </w:rPr>
        <w:t xml:space="preserve">Tier 2 — Early Charter (Members 11-20): $1,247</w:t>
      </w:r>
    </w:p>
    <w:p>
      <w:pPr>
        <w:pStyle w:val="ListParagraph"/>
        <w:numPr>
          <w:ilvl w:val="0"/>
          <w:numId w:val="2"/>
        </w:numPr>
        <w:spacing w:after="80" w:line="280"/>
      </w:pPr>
      <w:r>
        <w:rPr>
          <w:sz w:val="22"/>
          <w:szCs w:val="22"/>
        </w:rPr>
        <w:t xml:space="preserve">Founder-led coaching for the entire 12 weeks.</w:t>
      </w:r>
    </w:p>
    <w:p>
      <w:pPr>
        <w:pStyle w:val="ListParagraph"/>
        <w:numPr>
          <w:ilvl w:val="0"/>
          <w:numId w:val="2"/>
        </w:numPr>
        <w:spacing w:after="80" w:line="280"/>
      </w:pPr>
      <w:r>
        <w:rPr>
          <w:sz w:val="22"/>
          <w:szCs w:val="22"/>
        </w:rPr>
        <w:t xml:space="preserve">15 months of access to all program updates and new module materials.</w:t>
      </w:r>
    </w:p>
    <w:p>
      <w:pPr>
        <w:pStyle w:val="ListParagraph"/>
        <w:numPr>
          <w:ilvl w:val="0"/>
          <w:numId w:val="2"/>
        </w:numPr>
        <w:spacing w:after="80" w:line="280"/>
      </w:pPr>
      <w:r>
        <w:rPr>
          <w:sz w:val="22"/>
          <w:szCs w:val="22"/>
        </w:rPr>
        <w:t xml:space="preserve">20% loyalty discount on all future TenXPros products, programs, and consultations — valid for 3 years from program start.</w:t>
      </w:r>
    </w:p>
    <w:p>
      <w:pPr>
        <w:pStyle w:val="ListParagraph"/>
        <w:numPr>
          <w:ilvl w:val="0"/>
          <w:numId w:val="2"/>
        </w:numPr>
        <w:spacing w:after="80" w:line="280"/>
      </w:pPr>
      <w:r>
        <w:rPr>
          <w:sz w:val="22"/>
          <w:szCs w:val="22"/>
        </w:rPr>
        <w:t xml:space="preserve">Early Charter badge in the community.</w:t>
      </w:r>
    </w:p>
    <w:p>
      <w:pPr>
        <w:pStyle w:val="ListParagraph"/>
        <w:numPr>
          <w:ilvl w:val="0"/>
          <w:numId w:val="2"/>
        </w:numPr>
        <w:spacing w:after="80" w:line="280"/>
      </w:pPr>
      <w:r>
        <w:rPr>
          <w:sz w:val="22"/>
          <w:szCs w:val="22"/>
        </w:rPr>
        <w:t xml:space="preserve">Name (with permission) listed as a charter cohort member on the TenXPros website.</w:t>
      </w:r>
    </w:p>
    <w:p>
      <w:pPr>
        <w:pStyle w:val="ListParagraph"/>
        <w:numPr>
          <w:ilvl w:val="0"/>
          <w:numId w:val="2"/>
        </w:numPr>
        <w:spacing w:after="80" w:line="280"/>
      </w:pPr>
      <w:r>
        <w:rPr>
          <w:sz w:val="22"/>
          <w:szCs w:val="22"/>
        </w:rPr>
        <w:t xml:space="preserve">Featured profile in the TenXPros Directory upon certification.</w:t>
      </w:r>
    </w:p>
    <w:p>
      <w:pPr>
        <w:pStyle w:val="Heading2"/>
        <w:spacing w:after="160" w:before="280"/>
      </w:pPr>
      <w:r>
        <w:rPr>
          <w:b/>
          <w:bCs/>
          <w:color w:val="2E75B6"/>
          <w:sz w:val="28"/>
          <w:szCs w:val="28"/>
        </w:rPr>
        <w:t xml:space="preserve">Tier 3 — Late Charter (Members 21-30): $1,497</w:t>
      </w:r>
    </w:p>
    <w:p>
      <w:pPr>
        <w:pStyle w:val="ListParagraph"/>
        <w:numPr>
          <w:ilvl w:val="0"/>
          <w:numId w:val="2"/>
        </w:numPr>
        <w:spacing w:after="80" w:line="280"/>
      </w:pPr>
      <w:r>
        <w:rPr>
          <w:sz w:val="22"/>
          <w:szCs w:val="22"/>
        </w:rPr>
        <w:t xml:space="preserve">Founder-led coaching for the entire 12 weeks.</w:t>
      </w:r>
    </w:p>
    <w:p>
      <w:pPr>
        <w:pStyle w:val="ListParagraph"/>
        <w:numPr>
          <w:ilvl w:val="0"/>
          <w:numId w:val="2"/>
        </w:numPr>
        <w:spacing w:after="80" w:line="280"/>
      </w:pPr>
      <w:r>
        <w:rPr>
          <w:sz w:val="22"/>
          <w:szCs w:val="22"/>
        </w:rPr>
        <w:t xml:space="preserve">12 months of access to all program updates and new module materials.</w:t>
      </w:r>
    </w:p>
    <w:p>
      <w:pPr>
        <w:pStyle w:val="ListParagraph"/>
        <w:numPr>
          <w:ilvl w:val="0"/>
          <w:numId w:val="2"/>
        </w:numPr>
        <w:spacing w:after="80" w:line="280"/>
      </w:pPr>
      <w:r>
        <w:rPr>
          <w:sz w:val="22"/>
          <w:szCs w:val="22"/>
        </w:rPr>
        <w:t xml:space="preserve">15% loyalty discount on all future TenXPros products, programs, and consultations — valid for 3 years from program start.</w:t>
      </w:r>
    </w:p>
    <w:p>
      <w:pPr>
        <w:pStyle w:val="ListParagraph"/>
        <w:numPr>
          <w:ilvl w:val="0"/>
          <w:numId w:val="2"/>
        </w:numPr>
        <w:spacing w:after="80" w:line="280"/>
      </w:pPr>
      <w:r>
        <w:rPr>
          <w:sz w:val="22"/>
          <w:szCs w:val="22"/>
        </w:rPr>
        <w:t xml:space="preserve">Late Charter badge in the community.</w:t>
      </w:r>
    </w:p>
    <w:p>
      <w:pPr>
        <w:pStyle w:val="ListParagraph"/>
        <w:numPr>
          <w:ilvl w:val="0"/>
          <w:numId w:val="2"/>
        </w:numPr>
        <w:spacing w:after="80" w:line="280"/>
      </w:pPr>
      <w:r>
        <w:rPr>
          <w:sz w:val="22"/>
          <w:szCs w:val="22"/>
        </w:rPr>
        <w:t xml:space="preserve">Featured profile in the TenXPros Directory upon certification.</w:t>
      </w:r>
    </w:p>
    <w:p>
      <w:pPr>
        <w:pStyle w:val="Heading2"/>
        <w:spacing w:after="160" w:before="280"/>
      </w:pPr>
      <w:r>
        <w:rPr>
          <w:b/>
          <w:bCs/>
          <w:color w:val="2E75B6"/>
          <w:sz w:val="28"/>
          <w:szCs w:val="28"/>
        </w:rPr>
        <w:t xml:space="preserve">Tier 4 — Final Charter (Members 31-40): $1,747</w:t>
      </w:r>
    </w:p>
    <w:p>
      <w:pPr>
        <w:pStyle w:val="ListParagraph"/>
        <w:numPr>
          <w:ilvl w:val="0"/>
          <w:numId w:val="2"/>
        </w:numPr>
        <w:spacing w:after="80" w:line="280"/>
      </w:pPr>
      <w:r>
        <w:rPr>
          <w:sz w:val="22"/>
          <w:szCs w:val="22"/>
        </w:rPr>
        <w:t xml:space="preserve">Founder-trained TenXPros coach for the entire 12 weeks.</w:t>
      </w:r>
    </w:p>
    <w:p>
      <w:pPr>
        <w:pStyle w:val="ListParagraph"/>
        <w:numPr>
          <w:ilvl w:val="0"/>
          <w:numId w:val="2"/>
        </w:numPr>
        <w:spacing w:after="80" w:line="280"/>
      </w:pPr>
      <w:r>
        <w:rPr>
          <w:sz w:val="22"/>
          <w:szCs w:val="22"/>
        </w:rPr>
        <w:t xml:space="preserve">9 months of access to all program updates and new module materials.</w:t>
      </w:r>
    </w:p>
    <w:p>
      <w:pPr>
        <w:pStyle w:val="ListParagraph"/>
        <w:numPr>
          <w:ilvl w:val="0"/>
          <w:numId w:val="2"/>
        </w:numPr>
        <w:spacing w:after="80" w:line="280"/>
      </w:pPr>
      <w:r>
        <w:rPr>
          <w:sz w:val="22"/>
          <w:szCs w:val="22"/>
        </w:rPr>
        <w:t xml:space="preserve">10% loyalty discount on all future TenXPros products, programs, and consultations — valid for 2 years from program start.</w:t>
      </w:r>
    </w:p>
    <w:p>
      <w:pPr>
        <w:pStyle w:val="ListParagraph"/>
        <w:numPr>
          <w:ilvl w:val="0"/>
          <w:numId w:val="2"/>
        </w:numPr>
        <w:spacing w:after="80" w:line="280"/>
      </w:pPr>
      <w:r>
        <w:rPr>
          <w:sz w:val="22"/>
          <w:szCs w:val="22"/>
        </w:rPr>
        <w:t xml:space="preserve">Final Charter badge in the community.</w:t>
      </w:r>
    </w:p>
    <w:p>
      <w:pPr>
        <w:pStyle w:val="ListParagraph"/>
        <w:numPr>
          <w:ilvl w:val="0"/>
          <w:numId w:val="2"/>
        </w:numPr>
        <w:spacing w:after="80" w:line="280"/>
      </w:pPr>
      <w:r>
        <w:rPr>
          <w:sz w:val="22"/>
          <w:szCs w:val="22"/>
        </w:rPr>
        <w:t xml:space="preserve">Featured profile in the TenXPros Directory upon certification.</w:t>
      </w:r>
    </w:p>
    <w:p>
      <w:pPr>
        <w:pStyle w:val="Heading2"/>
        <w:spacing w:after="160" w:before="280"/>
      </w:pPr>
      <w:r>
        <w:rPr>
          <w:b/>
          <w:bCs/>
          <w:color w:val="2E75B6"/>
          <w:sz w:val="28"/>
          <w:szCs w:val="28"/>
        </w:rPr>
        <w:t xml:space="preserve">Standard Pricing (Members 41-99): $1,997</w:t>
      </w:r>
    </w:p>
    <w:p>
      <w:pPr>
        <w:pStyle w:val="ListParagraph"/>
        <w:numPr>
          <w:ilvl w:val="0"/>
          <w:numId w:val="2"/>
        </w:numPr>
        <w:spacing w:after="80" w:line="280"/>
      </w:pPr>
      <w:r>
        <w:rPr>
          <w:sz w:val="22"/>
          <w:szCs w:val="22"/>
        </w:rPr>
        <w:t xml:space="preserve">Founder-trained TenXPros coach for the entire 12 weeks.</w:t>
      </w:r>
    </w:p>
    <w:p>
      <w:pPr>
        <w:pStyle w:val="ListParagraph"/>
        <w:numPr>
          <w:ilvl w:val="0"/>
          <w:numId w:val="2"/>
        </w:numPr>
        <w:spacing w:after="80" w:line="280"/>
      </w:pPr>
      <w:r>
        <w:rPr>
          <w:sz w:val="22"/>
          <w:szCs w:val="22"/>
        </w:rPr>
        <w:t xml:space="preserve">6 months of access to all program updates and new module materials.</w:t>
      </w:r>
    </w:p>
    <w:p>
      <w:pPr>
        <w:pStyle w:val="ListParagraph"/>
        <w:numPr>
          <w:ilvl w:val="0"/>
          <w:numId w:val="2"/>
        </w:numPr>
        <w:spacing w:after="80" w:line="280"/>
      </w:pPr>
      <w:r>
        <w:rPr>
          <w:sz w:val="22"/>
          <w:szCs w:val="22"/>
        </w:rPr>
        <w:t xml:space="preserve">Standard alumni community access.</w:t>
      </w:r>
    </w:p>
    <w:p>
      <w:pPr>
        <w:pStyle w:val="ListParagraph"/>
        <w:numPr>
          <w:ilvl w:val="0"/>
          <w:numId w:val="2"/>
        </w:numPr>
        <w:spacing w:after="80" w:line="280"/>
      </w:pPr>
      <w:r>
        <w:rPr>
          <w:sz w:val="22"/>
          <w:szCs w:val="22"/>
        </w:rPr>
        <w:t xml:space="preserve">Featured profile in the TenXPros Directory upon certification.</w:t>
      </w:r>
    </w:p>
    <w:p>
      <w:pPr>
        <w:pStyle w:val="ListParagraph"/>
        <w:numPr>
          <w:ilvl w:val="0"/>
          <w:numId w:val="2"/>
        </w:numPr>
        <w:spacing w:after="80" w:line="280"/>
      </w:pPr>
      <w:r>
        <w:rPr>
          <w:sz w:val="22"/>
          <w:szCs w:val="22"/>
        </w:rPr>
        <w:t xml:space="preserve">Eligibility to join TenXPro Radar after the updates period.</w:t>
      </w:r>
    </w:p>
    <w:p>
      <w:pPr>
        <w:pStyle w:val="Heading2"/>
        <w:spacing w:after="160" w:before="280"/>
      </w:pPr>
      <w:r>
        <w:rPr>
          <w:b/>
          <w:bCs/>
          <w:color w:val="2E75B6"/>
          <w:sz w:val="28"/>
          <w:szCs w:val="28"/>
        </w:rPr>
        <w:t xml:space="preserve">What Stays the Same Across All Tiers</w:t>
      </w:r>
    </w:p>
    <w:p>
      <w:pPr>
        <w:pStyle w:val="ListParagraph"/>
        <w:numPr>
          <w:ilvl w:val="0"/>
          <w:numId w:val="2"/>
        </w:numPr>
        <w:spacing w:after="80" w:line="280"/>
      </w:pPr>
      <w:r>
        <w:rPr>
          <w:sz w:val="22"/>
          <w:szCs w:val="22"/>
        </w:rPr>
        <w:t xml:space="preserve">The same eleven modules and four phases.</w:t>
      </w:r>
    </w:p>
    <w:p>
      <w:pPr>
        <w:pStyle w:val="ListParagraph"/>
        <w:numPr>
          <w:ilvl w:val="0"/>
          <w:numId w:val="2"/>
        </w:numPr>
        <w:spacing w:after="80" w:line="280"/>
      </w:pPr>
      <w:r>
        <w:rPr>
          <w:sz w:val="22"/>
          <w:szCs w:val="22"/>
        </w:rPr>
        <w:t xml:space="preserve">The same Living AI Solution Dossier requirement.</w:t>
      </w:r>
    </w:p>
    <w:p>
      <w:pPr>
        <w:pStyle w:val="ListParagraph"/>
        <w:numPr>
          <w:ilvl w:val="0"/>
          <w:numId w:val="2"/>
        </w:numPr>
        <w:spacing w:after="80" w:line="280"/>
      </w:pPr>
      <w:r>
        <w:rPr>
          <w:sz w:val="22"/>
          <w:szCs w:val="22"/>
        </w:rPr>
        <w:t xml:space="preserve">The same Capstone review standard.</w:t>
      </w:r>
    </w:p>
    <w:p>
      <w:pPr>
        <w:pStyle w:val="ListParagraph"/>
        <w:numPr>
          <w:ilvl w:val="0"/>
          <w:numId w:val="2"/>
        </w:numPr>
        <w:spacing w:after="80" w:line="280"/>
      </w:pPr>
      <w:r>
        <w:rPr>
          <w:sz w:val="22"/>
          <w:szCs w:val="22"/>
        </w:rPr>
        <w:t xml:space="preserve">The same Certified TenXPro credential.</w:t>
      </w:r>
    </w:p>
    <w:p>
      <w:pPr>
        <w:pStyle w:val="ListParagraph"/>
        <w:numPr>
          <w:ilvl w:val="0"/>
          <w:numId w:val="2"/>
        </w:numPr>
        <w:spacing w:after="80" w:line="280"/>
      </w:pPr>
      <w:r>
        <w:rPr>
          <w:sz w:val="22"/>
          <w:szCs w:val="22"/>
        </w:rPr>
        <w:t xml:space="preserve">The same community, with appropriate channel access per tier.</w:t>
      </w:r>
    </w:p>
    <w:p>
      <w:pPr>
        <w:pStyle w:val="ListParagraph"/>
        <w:numPr>
          <w:ilvl w:val="0"/>
          <w:numId w:val="2"/>
        </w:numPr>
        <w:spacing w:after="80" w:line="280"/>
      </w:pPr>
      <w:r>
        <w:rPr>
          <w:sz w:val="22"/>
          <w:szCs w:val="22"/>
        </w:rPr>
        <w:t xml:space="preserve">The same fair-use ticket support.</w:t>
      </w:r>
    </w:p>
    <w:p>
      <w:pPr>
        <w:pStyle w:val="ListParagraph"/>
        <w:numPr>
          <w:ilvl w:val="0"/>
          <w:numId w:val="2"/>
        </w:numPr>
        <w:spacing w:after="80" w:line="280"/>
      </w:pPr>
      <w:r>
        <w:rPr>
          <w:sz w:val="22"/>
          <w:szCs w:val="22"/>
        </w:rPr>
        <w:t xml:space="preserve">The same featured Directory profile upon certification.</w:t>
      </w:r>
    </w:p>
    <w:p>
      <w:r>
        <w:br w:type="page"/>
      </w:r>
    </w:p>
    <w:p>
      <w:pPr>
        <w:pStyle w:val="Heading1"/>
        <w:spacing w:after="200" w:before="360"/>
      </w:pPr>
      <w:r>
        <w:rPr>
          <w:b/>
          <w:bCs/>
          <w:color w:val="1F4E79"/>
          <w:sz w:val="36"/>
          <w:szCs w:val="36"/>
        </w:rPr>
        <w:t xml:space="preserve">23. Transition Strategy: Honest Pricing Evolution</w:t>
      </w:r>
    </w:p>
    <w:p>
      <w:pPr>
        <w:spacing w:after="120" w:line="300"/>
        <w:jc w:val="left"/>
      </w:pPr>
      <w:r>
        <w:rPr>
          <w:sz w:val="22"/>
          <w:szCs w:val="22"/>
        </w:rPr>
        <w:t xml:space="preserve">When a tier closes and the next tier opens, the transition must be handled in a way that respects all members — those who joined early, those joining now, and those who will join later. The principle is simple: every tier brings real value, but the value is different at different moments in the program's life.</w:t>
      </w:r>
    </w:p>
    <w:p>
      <w:pPr>
        <w:pStyle w:val="Heading2"/>
        <w:spacing w:after="160" w:before="280"/>
      </w:pPr>
      <w:r>
        <w:rPr>
          <w:b/>
          <w:bCs/>
          <w:color w:val="2E75B6"/>
          <w:sz w:val="28"/>
          <w:szCs w:val="28"/>
        </w:rPr>
        <w:t xml:space="preserve">Public Language at Tier Transitions</w:t>
      </w:r>
    </w:p>
    <w:p>
      <w:pPr>
        <w:pStyle w:val="Heading3"/>
        <w:spacing w:after="120" w:before="200"/>
      </w:pPr>
      <w:r>
        <w:rPr>
          <w:b/>
          <w:bCs/>
          <w:color w:val="404040"/>
          <w:sz w:val="24"/>
          <w:szCs w:val="24"/>
        </w:rPr>
        <w:t xml:space="preserve">When Founding Charter closes</w:t>
      </w:r>
    </w:p>
    <w:p>
      <w:pPr>
        <w:spacing w:after="120" w:line="300"/>
        <w:jc w:val="left"/>
      </w:pPr>
      <w:r>
        <w:rPr>
          <w:sz w:val="22"/>
          <w:szCs w:val="22"/>
        </w:rPr>
        <w:t xml:space="preserve">Public announcement:</w:t>
      </w:r>
    </w:p>
    <w:p>
      <w:pPr>
        <w:pBdr>
          <w:left w:val="single" w:color="2E75B6" w:sz="18" w:space="12"/>
        </w:pBdr>
        <w:spacing w:after="160" w:before="160"/>
        <w:ind w:left="720" w:right="720"/>
      </w:pPr>
      <w:r>
        <w:rPr>
          <w:i/>
          <w:iCs/>
          <w:color w:val="404040"/>
          <w:sz w:val="24"/>
          <w:szCs w:val="24"/>
        </w:rPr>
        <w:t xml:space="preserve">Our Founding Charter (10 members) closed on [date]. These ten members took on the real risk of joining before we had testimonials, before we had case studies, before we had a single graduate. In exchange, they receive founder-led coaching, 18 months of updates, a 25% loyalty discount for 3 years, and permanent founding member recognition. We honor their commitment by holding these benefits exclusively for them. We are now welcoming Early Charter members at $1,247.</w:t>
      </w:r>
    </w:p>
    <w:p>
      <w:pPr>
        <w:pStyle w:val="Heading3"/>
        <w:spacing w:after="120" w:before="200"/>
      </w:pPr>
      <w:r>
        <w:rPr>
          <w:b/>
          <w:bCs/>
          <w:color w:val="404040"/>
          <w:sz w:val="24"/>
          <w:szCs w:val="24"/>
        </w:rPr>
        <w:t xml:space="preserve">When Early Charter closes</w:t>
      </w:r>
    </w:p>
    <w:p>
      <w:pPr>
        <w:spacing w:after="120" w:line="300"/>
        <w:jc w:val="left"/>
      </w:pPr>
      <w:r>
        <w:rPr>
          <w:sz w:val="22"/>
          <w:szCs w:val="22"/>
        </w:rPr>
        <w:t xml:space="preserve">Public announcement:</w:t>
      </w:r>
    </w:p>
    <w:p>
      <w:pPr>
        <w:pBdr>
          <w:left w:val="single" w:color="2E75B6" w:sz="18" w:space="12"/>
        </w:pBdr>
        <w:spacing w:after="160" w:before="160"/>
        <w:ind w:left="720" w:right="720"/>
      </w:pPr>
      <w:r>
        <w:rPr>
          <w:i/>
          <w:iCs/>
          <w:color w:val="404040"/>
          <w:sz w:val="24"/>
          <w:szCs w:val="24"/>
        </w:rPr>
        <w:t xml:space="preserve">Our Early Charter (members 11-20) closed on [date]. We are now welcoming Late Charter members at $1,497. As our program builds its first wave of completed Dossiers and certified TenXPros featured in the Directory, each new tier reflects a different stage in our program's life — with benefits matched to the moment of joining.</w:t>
      </w:r>
    </w:p>
    <w:p>
      <w:pPr>
        <w:pStyle w:val="Heading2"/>
        <w:spacing w:after="160" w:before="280"/>
      </w:pPr>
      <w:r>
        <w:rPr>
          <w:b/>
          <w:bCs/>
          <w:color w:val="2E75B6"/>
          <w:sz w:val="28"/>
          <w:szCs w:val="28"/>
        </w:rPr>
        <w:t xml:space="preserve">The Language Discipline</w:t>
      </w:r>
    </w:p>
    <w:p>
      <w:pPr>
        <w:spacing w:after="120" w:line="300"/>
        <w:jc w:val="left"/>
      </w:pPr>
      <w:r>
        <w:rPr>
          <w:sz w:val="22"/>
          <w:szCs w:val="22"/>
        </w:rPr>
        <w:t xml:space="preserve">The key linguistic discipline: do not describe price increases as discount endings. Describe them as transitions between tiers, each with its own value proposition.</w:t>
      </w:r>
    </w:p>
    <w:p>
      <w:pPr>
        <w:spacing w:after="200"/>
      </w:pPr>
    </w:p>
    <w:p>
      <w:pPr>
        <w:spacing w:after="120" w:line="300"/>
        <w:jc w:val="left"/>
      </w:pPr>
      <w:r>
        <w:rPr>
          <w:sz w:val="22"/>
          <w:szCs w:val="22"/>
        </w:rPr>
        <w:t xml:space="preserve">Wrong framing: "The Founding Charter discount has expired. The price is now $1,247."</w:t>
      </w:r>
    </w:p>
    <w:p>
      <w:pPr>
        <w:spacing w:after="200"/>
      </w:pPr>
    </w:p>
    <w:p>
      <w:pPr>
        <w:spacing w:after="120" w:line="300"/>
        <w:jc w:val="left"/>
      </w:pPr>
      <w:r>
        <w:rPr>
          <w:sz w:val="22"/>
          <w:szCs w:val="22"/>
        </w:rPr>
        <w:t xml:space="preserve">Right framing: "The Founding Charter (a 10-member cohort) is now closed. Early Charter (members 11-20) is now open at $1,247, with its own benefits package designed for this stage of the program."</w:t>
      </w:r>
    </w:p>
    <w:p>
      <w:pPr>
        <w:spacing w:after="200"/>
      </w:pPr>
    </w:p>
    <w:p>
      <w:pPr>
        <w:spacing w:after="120" w:line="300"/>
        <w:jc w:val="left"/>
      </w:pPr>
      <w:r>
        <w:rPr>
          <w:sz w:val="22"/>
          <w:szCs w:val="22"/>
        </w:rPr>
        <w:t xml:space="preserve">This distinction is not cosmetic. It reflects a real philosophical position: each charter tier is a distinct cohort with a distinct relationship to the program's life. The benefits are different because the moments of joining are different.</w:t>
      </w:r>
    </w:p>
    <w:p>
      <w:pPr>
        <w:pStyle w:val="Heading2"/>
        <w:spacing w:after="160" w:before="280"/>
      </w:pPr>
      <w:r>
        <w:rPr>
          <w:b/>
          <w:bCs/>
          <w:color w:val="2E75B6"/>
          <w:sz w:val="28"/>
          <w:szCs w:val="28"/>
        </w:rPr>
        <w:t xml:space="preserve">What Members Never Experience</w:t>
      </w:r>
    </w:p>
    <w:p>
      <w:pPr>
        <w:pStyle w:val="ListParagraph"/>
        <w:numPr>
          <w:ilvl w:val="0"/>
          <w:numId w:val="2"/>
        </w:numPr>
        <w:spacing w:after="80" w:line="280"/>
      </w:pPr>
      <w:r>
        <w:rPr>
          <w:sz w:val="22"/>
          <w:szCs w:val="22"/>
        </w:rPr>
        <w:t xml:space="preserve">They never see a previously-advertised discount they could have had if they had acted faster.</w:t>
      </w:r>
    </w:p>
    <w:p>
      <w:pPr>
        <w:pStyle w:val="ListParagraph"/>
        <w:numPr>
          <w:ilvl w:val="0"/>
          <w:numId w:val="2"/>
        </w:numPr>
        <w:spacing w:after="80" w:line="280"/>
      </w:pPr>
      <w:r>
        <w:rPr>
          <w:sz w:val="22"/>
          <w:szCs w:val="22"/>
        </w:rPr>
        <w:t xml:space="preserve">They never see a price they could have had if they had been earlier — only the price they have now and the value package designed for their moment.</w:t>
      </w:r>
    </w:p>
    <w:p>
      <w:pPr>
        <w:pStyle w:val="ListParagraph"/>
        <w:numPr>
          <w:ilvl w:val="0"/>
          <w:numId w:val="2"/>
        </w:numPr>
        <w:spacing w:after="80" w:line="280"/>
      </w:pPr>
      <w:r>
        <w:rPr>
          <w:sz w:val="22"/>
          <w:szCs w:val="22"/>
        </w:rPr>
        <w:t xml:space="preserve">They never see the program publicly discounting in ways that contradict the published tier structure.</w:t>
      </w:r>
    </w:p>
    <w:p>
      <w:r>
        <w:br w:type="page"/>
      </w:r>
    </w:p>
    <w:p>
      <w:pPr>
        <w:pStyle w:val="Heading1"/>
        <w:spacing w:after="200" w:before="360"/>
      </w:pPr>
      <w:r>
        <w:rPr>
          <w:b/>
          <w:bCs/>
          <w:color w:val="1F4E79"/>
          <w:sz w:val="36"/>
          <w:szCs w:val="36"/>
        </w:rPr>
        <w:t xml:space="preserve">24. TenXPros Directory: Visibility and Opportunity</w:t>
      </w:r>
    </w:p>
    <w:p>
      <w:pPr>
        <w:pStyle w:val="Heading2"/>
        <w:spacing w:after="160" w:before="280"/>
      </w:pPr>
      <w:r>
        <w:rPr>
          <w:b/>
          <w:bCs/>
          <w:color w:val="2E75B6"/>
          <w:sz w:val="28"/>
          <w:szCs w:val="28"/>
        </w:rPr>
        <w:t xml:space="preserve">What the Directory Is</w:t>
      </w:r>
    </w:p>
    <w:p>
      <w:pPr>
        <w:spacing w:after="120" w:line="300"/>
        <w:jc w:val="left"/>
      </w:pPr>
      <w:r>
        <w:rPr>
          <w:sz w:val="22"/>
          <w:szCs w:val="22"/>
        </w:rPr>
        <w:t xml:space="preserve">The TenXPros Directory is a public, searchable showcase of every Certified TenXPro. Every certified graduate receives a featured profile that highlights their domain expertise, their AI-ready credential, and their availability for consulting, coaching, projects, employment, or collaboration.</w:t>
      </w:r>
    </w:p>
    <w:p>
      <w:pPr>
        <w:spacing w:after="200"/>
      </w:pPr>
    </w:p>
    <w:p>
      <w:pPr>
        <w:spacing w:after="120" w:line="300"/>
        <w:jc w:val="left"/>
      </w:pPr>
      <w:r>
        <w:rPr>
          <w:sz w:val="22"/>
          <w:szCs w:val="22"/>
        </w:rPr>
        <w:t xml:space="preserve">The Directory exists because the credential should produce visible, professional outcomes — not just a certificate in a frame. It transforms TenXPros from a program into an ongoing professional asset that creates real opportunity.</w:t>
      </w:r>
    </w:p>
    <w:p>
      <w:pPr>
        <w:pStyle w:val="Heading2"/>
        <w:spacing w:after="160" w:before="280"/>
      </w:pPr>
      <w:r>
        <w:rPr>
          <w:b/>
          <w:bCs/>
          <w:color w:val="2E75B6"/>
          <w:sz w:val="28"/>
          <w:szCs w:val="28"/>
        </w:rPr>
        <w:t xml:space="preserve">What a Directory Profile Includes</w:t>
      </w:r>
    </w:p>
    <w:p>
      <w:pPr>
        <w:pStyle w:val="ListParagraph"/>
        <w:numPr>
          <w:ilvl w:val="0"/>
          <w:numId w:val="2"/>
        </w:numPr>
        <w:spacing w:after="80" w:line="280"/>
      </w:pPr>
      <w:r>
        <w:rPr>
          <w:sz w:val="22"/>
          <w:szCs w:val="22"/>
        </w:rPr>
        <w:t xml:space="preserve">Name, photo, professional title, and primary domain.</w:t>
      </w:r>
    </w:p>
    <w:p>
      <w:pPr>
        <w:pStyle w:val="ListParagraph"/>
        <w:numPr>
          <w:ilvl w:val="0"/>
          <w:numId w:val="2"/>
        </w:numPr>
        <w:spacing w:after="80" w:line="280"/>
      </w:pPr>
      <w:r>
        <w:rPr>
          <w:sz w:val="22"/>
          <w:szCs w:val="22"/>
        </w:rPr>
        <w:t xml:space="preserve">Summary of the participant's Dossier focus (with permission).</w:t>
      </w:r>
    </w:p>
    <w:p>
      <w:pPr>
        <w:pStyle w:val="ListParagraph"/>
        <w:numPr>
          <w:ilvl w:val="0"/>
          <w:numId w:val="2"/>
        </w:numPr>
        <w:spacing w:after="80" w:line="280"/>
      </w:pPr>
      <w:r>
        <w:rPr>
          <w:sz w:val="22"/>
          <w:szCs w:val="22"/>
        </w:rPr>
        <w:t xml:space="preserve">Certified TenXPro badge, ranks earned, and the Foresight Strategist Badge.</w:t>
      </w:r>
    </w:p>
    <w:p>
      <w:pPr>
        <w:pStyle w:val="ListParagraph"/>
        <w:numPr>
          <w:ilvl w:val="0"/>
          <w:numId w:val="2"/>
        </w:numPr>
        <w:spacing w:after="80" w:line="280"/>
      </w:pPr>
      <w:r>
        <w:rPr>
          <w:sz w:val="22"/>
          <w:szCs w:val="22"/>
        </w:rPr>
        <w:t xml:space="preserve">Languages spoken and geographic location.</w:t>
      </w:r>
    </w:p>
    <w:p>
      <w:pPr>
        <w:pStyle w:val="ListParagraph"/>
        <w:numPr>
          <w:ilvl w:val="0"/>
          <w:numId w:val="2"/>
        </w:numPr>
        <w:spacing w:after="80" w:line="280"/>
      </w:pPr>
      <w:r>
        <w:rPr>
          <w:sz w:val="22"/>
          <w:szCs w:val="22"/>
        </w:rPr>
        <w:t xml:space="preserve">Availability status: consulting, coaching, projects, full-time employment, or not currently available.</w:t>
      </w:r>
    </w:p>
    <w:p>
      <w:pPr>
        <w:pStyle w:val="ListParagraph"/>
        <w:numPr>
          <w:ilvl w:val="0"/>
          <w:numId w:val="2"/>
        </w:numPr>
        <w:spacing w:after="80" w:line="280"/>
      </w:pPr>
      <w:r>
        <w:rPr>
          <w:sz w:val="22"/>
          <w:szCs w:val="22"/>
        </w:rPr>
        <w:t xml:space="preserve">Links to the participant's LinkedIn, professional website, or portfolio.</w:t>
      </w:r>
    </w:p>
    <w:p>
      <w:pPr>
        <w:pStyle w:val="ListParagraph"/>
        <w:numPr>
          <w:ilvl w:val="0"/>
          <w:numId w:val="2"/>
        </w:numPr>
        <w:spacing w:after="80" w:line="280"/>
      </w:pPr>
      <w:r>
        <w:rPr>
          <w:sz w:val="22"/>
          <w:szCs w:val="22"/>
        </w:rPr>
        <w:t xml:space="preserve">Contact form mediated through TenXPros for initial outreach.</w:t>
      </w:r>
    </w:p>
    <w:p>
      <w:pPr>
        <w:pStyle w:val="Heading2"/>
        <w:spacing w:after="160" w:before="280"/>
      </w:pPr>
      <w:r>
        <w:rPr>
          <w:b/>
          <w:bCs/>
          <w:color w:val="2E75B6"/>
          <w:sz w:val="28"/>
          <w:szCs w:val="28"/>
        </w:rPr>
        <w:t xml:space="preserve">How Organizations Use the Directory</w:t>
      </w:r>
    </w:p>
    <w:p>
      <w:pPr>
        <w:spacing w:after="120" w:line="300"/>
        <w:jc w:val="left"/>
      </w:pPr>
      <w:r>
        <w:rPr>
          <w:sz w:val="22"/>
          <w:szCs w:val="22"/>
        </w:rPr>
        <w:t xml:space="preserve">Organizations and clients seeking AI-ready domain experts can search the Directory by:</w:t>
      </w:r>
    </w:p>
    <w:p>
      <w:pPr>
        <w:pStyle w:val="ListParagraph"/>
        <w:numPr>
          <w:ilvl w:val="0"/>
          <w:numId w:val="2"/>
        </w:numPr>
        <w:spacing w:after="80" w:line="280"/>
      </w:pPr>
      <w:r>
        <w:rPr>
          <w:sz w:val="22"/>
          <w:szCs w:val="22"/>
        </w:rPr>
        <w:t xml:space="preserve">Domain or professional category.</w:t>
      </w:r>
    </w:p>
    <w:p>
      <w:pPr>
        <w:pStyle w:val="ListParagraph"/>
        <w:numPr>
          <w:ilvl w:val="0"/>
          <w:numId w:val="2"/>
        </w:numPr>
        <w:spacing w:after="80" w:line="280"/>
      </w:pPr>
      <w:r>
        <w:rPr>
          <w:sz w:val="22"/>
          <w:szCs w:val="22"/>
        </w:rPr>
        <w:t xml:space="preserve">Geographic region.</w:t>
      </w:r>
    </w:p>
    <w:p>
      <w:pPr>
        <w:pStyle w:val="ListParagraph"/>
        <w:numPr>
          <w:ilvl w:val="0"/>
          <w:numId w:val="2"/>
        </w:numPr>
        <w:spacing w:after="80" w:line="280"/>
      </w:pPr>
      <w:r>
        <w:rPr>
          <w:sz w:val="22"/>
          <w:szCs w:val="22"/>
        </w:rPr>
        <w:t xml:space="preserve">Language.</w:t>
      </w:r>
    </w:p>
    <w:p>
      <w:pPr>
        <w:pStyle w:val="ListParagraph"/>
        <w:numPr>
          <w:ilvl w:val="0"/>
          <w:numId w:val="2"/>
        </w:numPr>
        <w:spacing w:after="80" w:line="280"/>
      </w:pPr>
      <w:r>
        <w:rPr>
          <w:sz w:val="22"/>
          <w:szCs w:val="22"/>
        </w:rPr>
        <w:t xml:space="preserve">Availability type (consultant, coach, project-based, employee).</w:t>
      </w:r>
    </w:p>
    <w:p>
      <w:pPr>
        <w:pStyle w:val="ListParagraph"/>
        <w:numPr>
          <w:ilvl w:val="0"/>
          <w:numId w:val="2"/>
        </w:numPr>
        <w:spacing w:after="80" w:line="280"/>
      </w:pPr>
      <w:r>
        <w:rPr>
          <w:sz w:val="22"/>
          <w:szCs w:val="22"/>
        </w:rPr>
        <w:t xml:space="preserve">Specific AI methodology focus (foresight, risk treatment, adoption design, etc.).</w:t>
      </w:r>
    </w:p>
    <w:p>
      <w:pPr>
        <w:spacing w:after="200"/>
      </w:pPr>
    </w:p>
    <w:p>
      <w:pPr>
        <w:spacing w:after="120" w:line="300"/>
        <w:jc w:val="left"/>
      </w:pPr>
      <w:r>
        <w:rPr>
          <w:sz w:val="22"/>
          <w:szCs w:val="22"/>
        </w:rPr>
        <w:t xml:space="preserve">Initial outreach is mediated through TenXPros. The Directory protects the privacy of TenXPros members while creating a credible discovery channel for organizations.</w:t>
      </w:r>
    </w:p>
    <w:p>
      <w:pPr>
        <w:pStyle w:val="Heading2"/>
        <w:spacing w:after="160" w:before="280"/>
      </w:pPr>
      <w:r>
        <w:rPr>
          <w:b/>
          <w:bCs/>
          <w:color w:val="2E75B6"/>
          <w:sz w:val="28"/>
          <w:szCs w:val="28"/>
        </w:rPr>
        <w:t xml:space="preserve">Directory as a Revenue Channel</w:t>
      </w:r>
    </w:p>
    <w:p>
      <w:pPr>
        <w:spacing w:after="120" w:line="300"/>
        <w:jc w:val="left"/>
      </w:pPr>
      <w:r>
        <w:rPr>
          <w:sz w:val="22"/>
          <w:szCs w:val="22"/>
        </w:rPr>
        <w:t xml:space="preserve">Directory access is free for visitors. Standard certified profiles are free for all certified TenXPros. The Directory may, in time, introduce optional services that participants choose to purchase:</w:t>
      </w:r>
    </w:p>
    <w:p>
      <w:pPr>
        <w:pStyle w:val="ListParagraph"/>
        <w:numPr>
          <w:ilvl w:val="0"/>
          <w:numId w:val="2"/>
        </w:numPr>
        <w:spacing w:after="80" w:line="280"/>
      </w:pPr>
      <w:r>
        <w:rPr>
          <w:sz w:val="22"/>
          <w:szCs w:val="22"/>
        </w:rPr>
        <w:t xml:space="preserve">Featured listing placement: priority visibility within a category.</w:t>
      </w:r>
    </w:p>
    <w:p>
      <w:pPr>
        <w:pStyle w:val="ListParagraph"/>
        <w:numPr>
          <w:ilvl w:val="0"/>
          <w:numId w:val="2"/>
        </w:numPr>
        <w:spacing w:after="80" w:line="280"/>
      </w:pPr>
      <w:r>
        <w:rPr>
          <w:sz w:val="22"/>
          <w:szCs w:val="22"/>
        </w:rPr>
        <w:t xml:space="preserve">Verified availability status: marked as actively seeking opportunities.</w:t>
      </w:r>
    </w:p>
    <w:p>
      <w:pPr>
        <w:pStyle w:val="ListParagraph"/>
        <w:numPr>
          <w:ilvl w:val="0"/>
          <w:numId w:val="2"/>
        </w:numPr>
        <w:spacing w:after="80" w:line="280"/>
      </w:pPr>
      <w:r>
        <w:rPr>
          <w:sz w:val="22"/>
          <w:szCs w:val="22"/>
        </w:rPr>
        <w:t xml:space="preserve">Job and project postings: organizations may post opportunities the Directory members can apply to.</w:t>
      </w:r>
    </w:p>
    <w:p>
      <w:pPr>
        <w:spacing w:after="200"/>
      </w:pPr>
    </w:p>
    <w:p>
      <w:pPr>
        <w:spacing w:after="120" w:line="300"/>
        <w:jc w:val="left"/>
      </w:pPr>
      <w:r>
        <w:rPr>
          <w:sz w:val="22"/>
          <w:szCs w:val="22"/>
        </w:rPr>
        <w:t xml:space="preserve">These options are deliberately not part of the launch. They are introduced after the Directory is established and the alumni base is large enough that they create value rather than cost.</w:t>
      </w:r>
    </w:p>
    <w:p>
      <w:pPr>
        <w:pStyle w:val="Heading2"/>
        <w:spacing w:after="160" w:before="280"/>
      </w:pPr>
      <w:r>
        <w:rPr>
          <w:b/>
          <w:bCs/>
          <w:color w:val="2E75B6"/>
          <w:sz w:val="28"/>
          <w:szCs w:val="28"/>
        </w:rPr>
        <w:t xml:space="preserve">Launch Timing</w:t>
      </w:r>
    </w:p>
    <w:p>
      <w:pPr>
        <w:spacing w:after="120" w:line="300"/>
        <w:jc w:val="left"/>
      </w:pPr>
      <w:r>
        <w:rPr>
          <w:sz w:val="22"/>
          <w:szCs w:val="22"/>
        </w:rPr>
        <w:t xml:space="preserve">The Directory is publicly announced on the TenXPros website from day one. Every Charter member knows their profile will be featured upon certification. The Directory launches as a functional product in Month 6 of the program's life, with all certified graduates included automatically at no additional cost.</w:t>
      </w:r>
    </w:p>
    <w:p>
      <w:r>
        <w:br w:type="page"/>
      </w:r>
    </w:p>
    <w:p>
      <w:pPr>
        <w:pStyle w:val="Heading1"/>
        <w:spacing w:after="200" w:before="360"/>
      </w:pPr>
      <w:r>
        <w:rPr>
          <w:b/>
          <w:bCs/>
          <w:color w:val="1F4E79"/>
          <w:sz w:val="36"/>
          <w:szCs w:val="36"/>
        </w:rPr>
        <w:t xml:space="preserve">25. What Is Included and What Is Not</w:t>
      </w:r>
    </w:p>
    <w:p>
      <w:pPr>
        <w:pStyle w:val="Heading2"/>
        <w:spacing w:after="160" w:before="280"/>
      </w:pPr>
      <w:r>
        <w:rPr>
          <w:b/>
          <w:bCs/>
          <w:color w:val="2E75B6"/>
          <w:sz w:val="28"/>
          <w:szCs w:val="28"/>
        </w:rPr>
        <w:t xml:space="preserve">What Is Included for Every TenXPros Participant</w:t>
      </w:r>
    </w:p>
    <w:p>
      <w:pPr>
        <w:pStyle w:val="ListParagraph"/>
        <w:numPr>
          <w:ilvl w:val="0"/>
          <w:numId w:val="2"/>
        </w:numPr>
        <w:spacing w:after="80" w:line="280"/>
      </w:pPr>
      <w:r>
        <w:rPr>
          <w:sz w:val="22"/>
          <w:szCs w:val="22"/>
        </w:rPr>
        <w:t xml:space="preserve">Application review and admission decision.</w:t>
      </w:r>
    </w:p>
    <w:p>
      <w:pPr>
        <w:pStyle w:val="ListParagraph"/>
        <w:numPr>
          <w:ilvl w:val="0"/>
          <w:numId w:val="2"/>
        </w:numPr>
        <w:spacing w:after="80" w:line="280"/>
      </w:pPr>
      <w:r>
        <w:rPr>
          <w:sz w:val="22"/>
          <w:szCs w:val="22"/>
        </w:rPr>
        <w:t xml:space="preserve">Complete Starter Pack onboarding document.</w:t>
      </w:r>
    </w:p>
    <w:p>
      <w:pPr>
        <w:pStyle w:val="ListParagraph"/>
        <w:numPr>
          <w:ilvl w:val="0"/>
          <w:numId w:val="2"/>
        </w:numPr>
        <w:spacing w:after="80" w:line="280"/>
      </w:pPr>
      <w:r>
        <w:rPr>
          <w:sz w:val="22"/>
          <w:szCs w:val="22"/>
        </w:rPr>
        <w:t xml:space="preserve">Personalized Diagnostic Intake.</w:t>
      </w:r>
    </w:p>
    <w:p>
      <w:pPr>
        <w:pStyle w:val="ListParagraph"/>
        <w:numPr>
          <w:ilvl w:val="0"/>
          <w:numId w:val="2"/>
        </w:numPr>
        <w:spacing w:after="80" w:line="280"/>
      </w:pPr>
      <w:r>
        <w:rPr>
          <w:sz w:val="22"/>
          <w:szCs w:val="22"/>
        </w:rPr>
        <w:t xml:space="preserve">Personalized 12-week path across eight customization dimensions.</w:t>
      </w:r>
    </w:p>
    <w:p>
      <w:pPr>
        <w:pStyle w:val="ListParagraph"/>
        <w:numPr>
          <w:ilvl w:val="0"/>
          <w:numId w:val="2"/>
        </w:numPr>
        <w:spacing w:after="80" w:line="280"/>
      </w:pPr>
      <w:r>
        <w:rPr>
          <w:sz w:val="22"/>
          <w:szCs w:val="22"/>
        </w:rPr>
        <w:t xml:space="preserve">Personal AI Coach for the full 12 weeks.</w:t>
      </w:r>
    </w:p>
    <w:p>
      <w:pPr>
        <w:pStyle w:val="ListParagraph"/>
        <w:numPr>
          <w:ilvl w:val="0"/>
          <w:numId w:val="2"/>
        </w:numPr>
        <w:spacing w:after="80" w:line="280"/>
      </w:pPr>
      <w:r>
        <w:rPr>
          <w:sz w:val="22"/>
          <w:szCs w:val="22"/>
        </w:rPr>
        <w:t xml:space="preserve">Weekly unlocked async modules across the four phases.</w:t>
      </w:r>
    </w:p>
    <w:p>
      <w:pPr>
        <w:pStyle w:val="ListParagraph"/>
        <w:numPr>
          <w:ilvl w:val="0"/>
          <w:numId w:val="2"/>
        </w:numPr>
        <w:spacing w:after="80" w:line="280"/>
      </w:pPr>
      <w:r>
        <w:rPr>
          <w:sz w:val="22"/>
          <w:szCs w:val="22"/>
        </w:rPr>
        <w:t xml:space="preserve">All learning materials, hands-on exercises, templates, and rubrics.</w:t>
      </w:r>
    </w:p>
    <w:p>
      <w:pPr>
        <w:pStyle w:val="ListParagraph"/>
        <w:numPr>
          <w:ilvl w:val="0"/>
          <w:numId w:val="2"/>
        </w:numPr>
        <w:spacing w:after="80" w:line="280"/>
      </w:pPr>
      <w:r>
        <w:rPr>
          <w:sz w:val="22"/>
          <w:szCs w:val="22"/>
        </w:rPr>
        <w:t xml:space="preserve">Living Dossier workspace and structured templates.</w:t>
      </w:r>
    </w:p>
    <w:p>
      <w:pPr>
        <w:pStyle w:val="ListParagraph"/>
        <w:numPr>
          <w:ilvl w:val="0"/>
          <w:numId w:val="2"/>
        </w:numPr>
        <w:spacing w:after="80" w:line="280"/>
      </w:pPr>
      <w:r>
        <w:rPr>
          <w:sz w:val="22"/>
          <w:szCs w:val="22"/>
        </w:rPr>
        <w:t xml:space="preserve">Private community access throughout the 12 weeks.</w:t>
      </w:r>
    </w:p>
    <w:p>
      <w:pPr>
        <w:pStyle w:val="ListParagraph"/>
        <w:numPr>
          <w:ilvl w:val="0"/>
          <w:numId w:val="2"/>
        </w:numPr>
        <w:spacing w:after="80" w:line="280"/>
      </w:pPr>
      <w:r>
        <w:rPr>
          <w:sz w:val="22"/>
          <w:szCs w:val="22"/>
        </w:rPr>
        <w:t xml:space="preserve">Ticket support under fair-use policy (3 active tickets/week during program; 1/week for 30 days after).</w:t>
      </w:r>
    </w:p>
    <w:p>
      <w:pPr>
        <w:pStyle w:val="ListParagraph"/>
        <w:numPr>
          <w:ilvl w:val="0"/>
          <w:numId w:val="2"/>
        </w:numPr>
        <w:spacing w:after="80" w:line="280"/>
      </w:pPr>
      <w:r>
        <w:rPr>
          <w:sz w:val="22"/>
          <w:szCs w:val="22"/>
        </w:rPr>
        <w:t xml:space="preserve">Personalized welcome Loom video from your assigned coach.</w:t>
      </w:r>
    </w:p>
    <w:p>
      <w:pPr>
        <w:pStyle w:val="ListParagraph"/>
        <w:numPr>
          <w:ilvl w:val="0"/>
          <w:numId w:val="2"/>
        </w:numPr>
        <w:spacing w:after="80" w:line="280"/>
      </w:pPr>
      <w:r>
        <w:rPr>
          <w:sz w:val="22"/>
          <w:szCs w:val="22"/>
        </w:rPr>
        <w:t xml:space="preserve">Weekly broadcast Loom videos from the founder.</w:t>
      </w:r>
    </w:p>
    <w:p>
      <w:pPr>
        <w:pStyle w:val="ListParagraph"/>
        <w:numPr>
          <w:ilvl w:val="0"/>
          <w:numId w:val="2"/>
        </w:numPr>
        <w:spacing w:after="80" w:line="280"/>
      </w:pPr>
      <w:r>
        <w:rPr>
          <w:sz w:val="22"/>
          <w:szCs w:val="22"/>
        </w:rPr>
        <w:t xml:space="preserve">Four structured written feedback checkpoints from your coach.</w:t>
      </w:r>
    </w:p>
    <w:p>
      <w:pPr>
        <w:pStyle w:val="ListParagraph"/>
        <w:numPr>
          <w:ilvl w:val="0"/>
          <w:numId w:val="2"/>
        </w:numPr>
        <w:spacing w:after="80" w:line="280"/>
      </w:pPr>
      <w:r>
        <w:rPr>
          <w:sz w:val="22"/>
          <w:szCs w:val="22"/>
        </w:rPr>
        <w:t xml:space="preserve">Mid-program voice or video review.</w:t>
      </w:r>
    </w:p>
    <w:p>
      <w:pPr>
        <w:pStyle w:val="ListParagraph"/>
        <w:numPr>
          <w:ilvl w:val="0"/>
          <w:numId w:val="2"/>
        </w:numPr>
        <w:spacing w:after="80" w:line="280"/>
      </w:pPr>
      <w:r>
        <w:rPr>
          <w:sz w:val="22"/>
          <w:szCs w:val="22"/>
        </w:rPr>
        <w:t xml:space="preserve">Peer pairing for cross-feedback.</w:t>
      </w:r>
    </w:p>
    <w:p>
      <w:pPr>
        <w:pStyle w:val="ListParagraph"/>
        <w:numPr>
          <w:ilvl w:val="0"/>
          <w:numId w:val="2"/>
        </w:numPr>
        <w:spacing w:after="80" w:line="280"/>
      </w:pPr>
      <w:r>
        <w:rPr>
          <w:sz w:val="22"/>
          <w:szCs w:val="22"/>
        </w:rPr>
        <w:t xml:space="preserve">Monthly async challenge participation.</w:t>
      </w:r>
    </w:p>
    <w:p>
      <w:pPr>
        <w:pStyle w:val="ListParagraph"/>
        <w:numPr>
          <w:ilvl w:val="0"/>
          <w:numId w:val="2"/>
        </w:numPr>
        <w:spacing w:after="80" w:line="280"/>
      </w:pPr>
      <w:r>
        <w:rPr>
          <w:sz w:val="22"/>
          <w:szCs w:val="22"/>
        </w:rPr>
        <w:t xml:space="preserve">Final Living AI Solution Dossier review.</w:t>
      </w:r>
    </w:p>
    <w:p>
      <w:pPr>
        <w:pStyle w:val="ListParagraph"/>
        <w:numPr>
          <w:ilvl w:val="0"/>
          <w:numId w:val="2"/>
        </w:numPr>
        <w:spacing w:after="80" w:line="280"/>
      </w:pPr>
      <w:r>
        <w:rPr>
          <w:sz w:val="22"/>
          <w:szCs w:val="22"/>
        </w:rPr>
        <w:t xml:space="preserve">Loom debrief video on Dossier and certification decision.</w:t>
      </w:r>
    </w:p>
    <w:p>
      <w:pPr>
        <w:pStyle w:val="ListParagraph"/>
        <w:numPr>
          <w:ilvl w:val="0"/>
          <w:numId w:val="2"/>
        </w:numPr>
        <w:spacing w:after="80" w:line="280"/>
      </w:pPr>
      <w:r>
        <w:rPr>
          <w:sz w:val="22"/>
          <w:szCs w:val="22"/>
        </w:rPr>
        <w:t xml:space="preserve">Certification decision and credential, if standard is met.</w:t>
      </w:r>
    </w:p>
    <w:p>
      <w:pPr>
        <w:pStyle w:val="ListParagraph"/>
        <w:numPr>
          <w:ilvl w:val="0"/>
          <w:numId w:val="2"/>
        </w:numPr>
        <w:spacing w:after="80" w:line="280"/>
      </w:pPr>
      <w:r>
        <w:rPr>
          <w:sz w:val="22"/>
          <w:szCs w:val="22"/>
        </w:rPr>
        <w:t xml:space="preserve">Featured profile in the TenXPros Directory upon certification.</w:t>
      </w:r>
    </w:p>
    <w:p>
      <w:pPr>
        <w:pStyle w:val="ListParagraph"/>
        <w:numPr>
          <w:ilvl w:val="0"/>
          <w:numId w:val="2"/>
        </w:numPr>
        <w:spacing w:after="80" w:line="280"/>
      </w:pPr>
      <w:r>
        <w:rPr>
          <w:sz w:val="22"/>
          <w:szCs w:val="22"/>
        </w:rPr>
        <w:t xml:space="preserve">Eligibility for TenXPro Radar as an alumnus.</w:t>
      </w:r>
    </w:p>
    <w:p>
      <w:pPr>
        <w:pStyle w:val="ListParagraph"/>
        <w:numPr>
          <w:ilvl w:val="0"/>
          <w:numId w:val="2"/>
        </w:numPr>
        <w:spacing w:after="80" w:line="280"/>
      </w:pPr>
      <w:r>
        <w:rPr>
          <w:sz w:val="22"/>
          <w:szCs w:val="22"/>
        </w:rPr>
        <w:t xml:space="preserve">Tier-appropriate access to program updates (see Section 27).</w:t>
      </w:r>
    </w:p>
    <w:p>
      <w:pPr>
        <w:pStyle w:val="ListParagraph"/>
        <w:numPr>
          <w:ilvl w:val="0"/>
          <w:numId w:val="2"/>
        </w:numPr>
        <w:spacing w:after="80" w:line="280"/>
      </w:pPr>
      <w:r>
        <w:rPr>
          <w:sz w:val="22"/>
          <w:szCs w:val="22"/>
        </w:rPr>
        <w:t xml:space="preserve">Tier-appropriate loyalty discount on future products (see Section 27).</w:t>
      </w:r>
    </w:p>
    <w:p>
      <w:pPr>
        <w:pStyle w:val="Heading2"/>
        <w:spacing w:after="160" w:before="280"/>
      </w:pPr>
      <w:r>
        <w:rPr>
          <w:b/>
          <w:bCs/>
          <w:color w:val="2E75B6"/>
          <w:sz w:val="28"/>
          <w:szCs w:val="28"/>
        </w:rPr>
        <w:t xml:space="preserve">What Is Not Included</w:t>
      </w:r>
    </w:p>
    <w:p>
      <w:pPr>
        <w:pStyle w:val="ListParagraph"/>
        <w:numPr>
          <w:ilvl w:val="0"/>
          <w:numId w:val="2"/>
        </w:numPr>
        <w:spacing w:after="80" w:line="280"/>
      </w:pPr>
      <w:r>
        <w:rPr>
          <w:sz w:val="22"/>
          <w:szCs w:val="22"/>
        </w:rPr>
        <w:t xml:space="preserve">Unlimited consulting beyond fair-use support.</w:t>
      </w:r>
    </w:p>
    <w:p>
      <w:pPr>
        <w:pStyle w:val="ListParagraph"/>
        <w:numPr>
          <w:ilvl w:val="0"/>
          <w:numId w:val="2"/>
        </w:numPr>
        <w:spacing w:after="80" w:line="280"/>
      </w:pPr>
      <w:r>
        <w:rPr>
          <w:sz w:val="22"/>
          <w:szCs w:val="22"/>
        </w:rPr>
        <w:t xml:space="preserve">Done-for-you implementation.</w:t>
      </w:r>
    </w:p>
    <w:p>
      <w:pPr>
        <w:pStyle w:val="ListParagraph"/>
        <w:numPr>
          <w:ilvl w:val="0"/>
          <w:numId w:val="2"/>
        </w:numPr>
        <w:spacing w:after="80" w:line="280"/>
      </w:pPr>
      <w:r>
        <w:rPr>
          <w:sz w:val="22"/>
          <w:szCs w:val="22"/>
        </w:rPr>
        <w:t xml:space="preserve">Unlimited Dossier revisions.</w:t>
      </w:r>
    </w:p>
    <w:p>
      <w:pPr>
        <w:pStyle w:val="ListParagraph"/>
        <w:numPr>
          <w:ilvl w:val="0"/>
          <w:numId w:val="2"/>
        </w:numPr>
        <w:spacing w:after="80" w:line="280"/>
      </w:pPr>
      <w:r>
        <w:rPr>
          <w:sz w:val="22"/>
          <w:szCs w:val="22"/>
        </w:rPr>
        <w:t xml:space="preserve">Expert legal, medical, financial, or compliance advice.</w:t>
      </w:r>
    </w:p>
    <w:p>
      <w:pPr>
        <w:pStyle w:val="ListParagraph"/>
        <w:numPr>
          <w:ilvl w:val="0"/>
          <w:numId w:val="2"/>
        </w:numPr>
        <w:spacing w:after="80" w:line="280"/>
      </w:pPr>
      <w:r>
        <w:rPr>
          <w:sz w:val="22"/>
          <w:szCs w:val="22"/>
        </w:rPr>
        <w:t xml:space="preserve">Capstone resubmission beyond one included opportunity.</w:t>
      </w:r>
    </w:p>
    <w:p>
      <w:pPr>
        <w:pStyle w:val="ListParagraph"/>
        <w:numPr>
          <w:ilvl w:val="0"/>
          <w:numId w:val="2"/>
        </w:numPr>
        <w:spacing w:after="80" w:line="280"/>
      </w:pPr>
      <w:r>
        <w:rPr>
          <w:sz w:val="22"/>
          <w:szCs w:val="22"/>
        </w:rPr>
        <w:t xml:space="preserve">Live mandatory sessions or live calls.</w:t>
      </w:r>
    </w:p>
    <w:p>
      <w:pPr>
        <w:pStyle w:val="ListParagraph"/>
        <w:numPr>
          <w:ilvl w:val="0"/>
          <w:numId w:val="2"/>
        </w:numPr>
        <w:spacing w:after="80" w:line="280"/>
      </w:pPr>
      <w:r>
        <w:rPr>
          <w:sz w:val="22"/>
          <w:szCs w:val="22"/>
        </w:rPr>
        <w:t xml:space="preserve">Founder access on demand for participants in Tier 4 and beyond (coach is the primary contact).</w:t>
      </w:r>
    </w:p>
    <w:p>
      <w:pPr>
        <w:pStyle w:val="ListParagraph"/>
        <w:numPr>
          <w:ilvl w:val="0"/>
          <w:numId w:val="2"/>
        </w:numPr>
        <w:spacing w:after="80" w:line="280"/>
      </w:pPr>
      <w:r>
        <w:rPr>
          <w:sz w:val="22"/>
          <w:szCs w:val="22"/>
        </w:rPr>
        <w:t xml:space="preserve">Permanent updates access beyond the tier-specified window or TenXPro Radar membership.</w:t>
      </w:r>
    </w:p>
    <w:p>
      <w:r>
        <w:br w:type="page"/>
      </w:r>
    </w:p>
    <w:p>
      <w:pPr>
        <w:pStyle w:val="Heading1"/>
        <w:spacing w:after="200" w:before="360"/>
      </w:pPr>
      <w:r>
        <w:rPr>
          <w:b/>
          <w:bCs/>
          <w:color w:val="1F4E79"/>
          <w:sz w:val="36"/>
          <w:szCs w:val="36"/>
        </w:rPr>
        <w:t xml:space="preserve">26. Add-On Services</w:t>
      </w:r>
    </w:p>
    <w:p>
      <w:pPr>
        <w:spacing w:after="120" w:line="300"/>
        <w:jc w:val="left"/>
      </w:pPr>
      <w:r>
        <w:rPr>
          <w:sz w:val="22"/>
          <w:szCs w:val="22"/>
        </w:rPr>
        <w:t xml:space="preserve">Participants may purchase optional add-ons during or after the program. These exist to serve specific needs without inflating the core price for everyone. Add-on prices are deliberately calibrated to be accessible relative to the program's tier pricing — none exceeds 10% of the standard program price.</w:t>
      </w:r>
    </w:p>
    <w:p>
      <w:pPr>
        <w:pStyle w:val="Heading2"/>
        <w:spacing w:after="160" w:before="280"/>
      </w:pPr>
      <w:r>
        <w:rPr>
          <w:b/>
          <w:bCs/>
          <w:color w:val="2E75B6"/>
          <w:sz w:val="28"/>
          <w:szCs w:val="28"/>
        </w:rPr>
        <w:t xml:space="preserve">Available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2"/>
                <w:szCs w:val="22"/>
              </w:rPr>
              <w:t xml:space="preserve">Add-On</w:t>
            </w:r>
          </w:p>
        </w:tc>
        <w:tc>
          <w:tcPr>
            <w:tcW w:type="dxa" w:w="200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2"/>
                <w:szCs w:val="22"/>
              </w:rPr>
              <w:t xml:space="preserve">Price (USD)</w:t>
            </w:r>
          </w:p>
        </w:tc>
        <w:tc>
          <w:tcPr>
            <w:tcW w:type="dxa" w:w="376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2"/>
                <w:szCs w:val="22"/>
              </w:rPr>
              <w:t xml:space="preserve">Purpose</w:t>
            </w:r>
          </w:p>
        </w:tc>
      </w:tr>
      <w:tr>
        <w:tc>
          <w:tcPr>
            <w:tcW w:type="dxa" w:w="36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Async Loom Q&amp;A (single question)</w:t>
            </w:r>
          </w:p>
        </w:tc>
        <w:tc>
          <w:tcPr>
            <w:tcW w:type="dxa" w:w="20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$39</w:t>
            </w:r>
          </w:p>
        </w:tc>
        <w:tc>
          <w:tcPr>
            <w:tcW w:type="dxa" w:w="37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Loom-based personalized response to a specific question.</w:t>
            </w:r>
          </w:p>
        </w:tc>
      </w:tr>
      <w:tr>
        <w:tc>
          <w:tcPr>
            <w:tcW w:type="dxa" w:w="36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Extra Ticket Pack (5 tickets)</w:t>
            </w:r>
          </w:p>
        </w:tc>
        <w:tc>
          <w:tcPr>
            <w:tcW w:type="dxa" w:w="20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$49</w:t>
            </w:r>
          </w:p>
        </w:tc>
        <w:tc>
          <w:tcPr>
            <w:tcW w:type="dxa" w:w="37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Additional ticket allowance beyond the standard fair-use limit.</w:t>
            </w:r>
          </w:p>
        </w:tc>
      </w:tr>
      <w:tr>
        <w:tc>
          <w:tcPr>
            <w:tcW w:type="dxa" w:w="36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30-min Coach Video Call (live)</w:t>
            </w:r>
          </w:p>
        </w:tc>
        <w:tc>
          <w:tcPr>
            <w:tcW w:type="dxa" w:w="20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$79</w:t>
            </w:r>
          </w:p>
        </w:tc>
        <w:tc>
          <w:tcPr>
            <w:tcW w:type="dxa" w:w="37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Live video call with assigned coach for focused guidance.</w:t>
            </w:r>
          </w:p>
        </w:tc>
      </w:tr>
      <w:tr>
        <w:tc>
          <w:tcPr>
            <w:tcW w:type="dxa" w:w="36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Optional Capstone Video Review</w:t>
            </w:r>
          </w:p>
        </w:tc>
        <w:tc>
          <w:tcPr>
            <w:tcW w:type="dxa" w:w="20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$79</w:t>
            </w:r>
          </w:p>
        </w:tc>
        <w:tc>
          <w:tcPr>
            <w:tcW w:type="dxa" w:w="37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Feedback on the optional Capstone presentation video.</w:t>
            </w:r>
          </w:p>
        </w:tc>
      </w:tr>
      <w:tr>
        <w:tc>
          <w:tcPr>
            <w:tcW w:type="dxa" w:w="36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Additional Dossier Review</w:t>
            </w:r>
          </w:p>
        </w:tc>
        <w:tc>
          <w:tcPr>
            <w:tcW w:type="dxa" w:w="20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$99</w:t>
            </w:r>
          </w:p>
        </w:tc>
        <w:tc>
          <w:tcPr>
            <w:tcW w:type="dxa" w:w="37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Structured review beyond the included milestone feedback.</w:t>
            </w:r>
          </w:p>
        </w:tc>
      </w:tr>
      <w:tr>
        <w:tc>
          <w:tcPr>
            <w:tcW w:type="dxa" w:w="36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Capstone Resubmission</w:t>
            </w:r>
          </w:p>
        </w:tc>
        <w:tc>
          <w:tcPr>
            <w:tcW w:type="dxa" w:w="20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$99</w:t>
            </w:r>
          </w:p>
        </w:tc>
        <w:tc>
          <w:tcPr>
            <w:tcW w:type="dxa" w:w="37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For participants who need to resubmit the Capstone.</w:t>
            </w:r>
          </w:p>
        </w:tc>
      </w:tr>
      <w:tr>
        <w:tc>
          <w:tcPr>
            <w:tcW w:type="dxa" w:w="36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Mid-Program Deep Feedback</w:t>
            </w:r>
          </w:p>
        </w:tc>
        <w:tc>
          <w:tcPr>
            <w:tcW w:type="dxa" w:w="20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$129</w:t>
            </w:r>
          </w:p>
        </w:tc>
        <w:tc>
          <w:tcPr>
            <w:tcW w:type="dxa" w:w="37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Comprehensive Loom feedback covering all artifacts produced to date.</w:t>
            </w:r>
          </w:p>
        </w:tc>
      </w:tr>
      <w:tr>
        <w:tc>
          <w:tcPr>
            <w:tcW w:type="dxa" w:w="36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60-min Founder Strategy Session</w:t>
            </w:r>
          </w:p>
        </w:tc>
        <w:tc>
          <w:tcPr>
            <w:tcW w:type="dxa" w:w="20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$197 (charter members only)</w:t>
            </w:r>
          </w:p>
        </w:tc>
        <w:tc>
          <w:tcPr>
            <w:tcW w:type="dxa" w:w="37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Live strategy session with the founder on a specific high-stakes question.</w:t>
            </w:r>
          </w:p>
        </w:tc>
      </w:tr>
      <w:tr>
        <w:tc>
          <w:tcPr>
            <w:tcW w:type="dxa" w:w="36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Expert Domain Review</w:t>
            </w:r>
          </w:p>
        </w:tc>
        <w:tc>
          <w:tcPr>
            <w:tcW w:type="dxa" w:w="200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$150 – $300</w:t>
            </w:r>
          </w:p>
        </w:tc>
        <w:tc>
          <w:tcPr>
            <w:tcW w:type="dxa" w:w="376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Future add-on: specialist review for high-accountability domains.</w:t>
            </w:r>
          </w:p>
        </w:tc>
      </w:tr>
      <w:tr>
        <w:tc>
          <w:tcPr>
            <w:tcW w:type="dxa" w:w="36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Re-Entry After Missed Module</w:t>
            </w:r>
          </w:p>
        </w:tc>
        <w:tc>
          <w:tcPr>
            <w:tcW w:type="dxa" w:w="20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50% of original tier price</w:t>
            </w:r>
          </w:p>
        </w:tc>
        <w:tc>
          <w:tcPr>
            <w:tcW w:type="dxa" w:w="37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Re-entry for participants who restart without valid justification.</w:t>
            </w:r>
          </w:p>
        </w:tc>
      </w:tr>
    </w:tbl>
    <w:p>
      <w:pPr>
        <w:spacing w:after="200"/>
      </w:pPr>
    </w:p>
    <w:p>
      <w:pPr>
        <w:spacing w:after="120" w:line="300"/>
        <w:jc w:val="left"/>
      </w:pPr>
      <w:r>
        <w:rPr>
          <w:sz w:val="22"/>
          <w:szCs w:val="22"/>
        </w:rPr>
        <w:t xml:space="preserve">Charter tier members receive their tier-appropriate loyalty discount (25% / 20% / 15% / 10%) on all add-ons for the duration of their loyalty window (3 years for Tiers 1-3; 2 years for Tier 4).</w:t>
      </w:r>
    </w:p>
    <w:p>
      <w:r>
        <w:br w:type="page"/>
      </w:r>
    </w:p>
    <w:p>
      <w:pPr>
        <w:pStyle w:val="Heading1"/>
        <w:spacing w:after="200" w:before="360"/>
      </w:pPr>
      <w:r>
        <w:rPr>
          <w:b/>
          <w:bCs/>
          <w:color w:val="1F4E79"/>
          <w:sz w:val="36"/>
          <w:szCs w:val="36"/>
        </w:rPr>
        <w:t xml:space="preserve">27. Updates Access and Loyalty Discount</w:t>
      </w:r>
    </w:p>
    <w:p>
      <w:pPr>
        <w:pStyle w:val="Heading2"/>
        <w:spacing w:after="160" w:before="280"/>
      </w:pPr>
      <w:r>
        <w:rPr>
          <w:b/>
          <w:bCs/>
          <w:color w:val="2E75B6"/>
          <w:sz w:val="28"/>
          <w:szCs w:val="28"/>
        </w:rPr>
        <w:t xml:space="preserve">Why These Benefits Matter</w:t>
      </w:r>
    </w:p>
    <w:p>
      <w:pPr>
        <w:spacing w:after="120" w:line="300"/>
        <w:jc w:val="left"/>
      </w:pPr>
      <w:r>
        <w:rPr>
          <w:sz w:val="22"/>
          <w:szCs w:val="22"/>
        </w:rPr>
        <w:t xml:space="preserve">AI capabilities, tools, regulations, and best practices change continuously. A certification that does not evolve becomes a credential frozen in time. TenXPros addresses this directly through two complementary benefits: tier-appropriate updates access included in the program, and a loyalty discount on future TenXPros products.</w:t>
      </w:r>
    </w:p>
    <w:p>
      <w:pPr>
        <w:pStyle w:val="Heading2"/>
        <w:spacing w:after="160" w:before="280"/>
      </w:pPr>
      <w:r>
        <w:rPr>
          <w:b/>
          <w:bCs/>
          <w:color w:val="2E75B6"/>
          <w:sz w:val="28"/>
          <w:szCs w:val="28"/>
        </w:rPr>
        <w:t xml:space="preserve">Updates Access by Tier</w:t>
      </w:r>
    </w:p>
    <w:p>
      <w:pPr>
        <w:pStyle w:val="ListParagraph"/>
        <w:numPr>
          <w:ilvl w:val="0"/>
          <w:numId w:val="2"/>
        </w:numPr>
        <w:spacing w:after="80" w:line="280"/>
      </w:pPr>
      <w:r>
        <w:rPr>
          <w:sz w:val="22"/>
          <w:szCs w:val="22"/>
        </w:rPr>
        <w:t xml:space="preserve">Tier 1 (Founding Charter): 18 months from program start.</w:t>
      </w:r>
    </w:p>
    <w:p>
      <w:pPr>
        <w:pStyle w:val="ListParagraph"/>
        <w:numPr>
          <w:ilvl w:val="0"/>
          <w:numId w:val="2"/>
        </w:numPr>
        <w:spacing w:after="80" w:line="280"/>
      </w:pPr>
      <w:r>
        <w:rPr>
          <w:sz w:val="22"/>
          <w:szCs w:val="22"/>
        </w:rPr>
        <w:t xml:space="preserve">Tier 2 (Early Charter): 15 months from program start.</w:t>
      </w:r>
    </w:p>
    <w:p>
      <w:pPr>
        <w:pStyle w:val="ListParagraph"/>
        <w:numPr>
          <w:ilvl w:val="0"/>
          <w:numId w:val="2"/>
        </w:numPr>
        <w:spacing w:after="80" w:line="280"/>
      </w:pPr>
      <w:r>
        <w:rPr>
          <w:sz w:val="22"/>
          <w:szCs w:val="22"/>
        </w:rPr>
        <w:t xml:space="preserve">Tier 3 (Late Charter): 12 months from program start.</w:t>
      </w:r>
    </w:p>
    <w:p>
      <w:pPr>
        <w:pStyle w:val="ListParagraph"/>
        <w:numPr>
          <w:ilvl w:val="0"/>
          <w:numId w:val="2"/>
        </w:numPr>
        <w:spacing w:after="80" w:line="280"/>
      </w:pPr>
      <w:r>
        <w:rPr>
          <w:sz w:val="22"/>
          <w:szCs w:val="22"/>
        </w:rPr>
        <w:t xml:space="preserve">Tier 4 (Final Charter): 9 months from program start.</w:t>
      </w:r>
    </w:p>
    <w:p>
      <w:pPr>
        <w:pStyle w:val="ListParagraph"/>
        <w:numPr>
          <w:ilvl w:val="0"/>
          <w:numId w:val="2"/>
        </w:numPr>
        <w:spacing w:after="80" w:line="280"/>
      </w:pPr>
      <w:r>
        <w:rPr>
          <w:sz w:val="22"/>
          <w:szCs w:val="22"/>
        </w:rPr>
        <w:t xml:space="preserve">Standard pricing: 6 months from program start.</w:t>
      </w:r>
    </w:p>
    <w:p>
      <w:pPr>
        <w:pStyle w:val="Heading2"/>
        <w:spacing w:after="160" w:before="280"/>
      </w:pPr>
      <w:r>
        <w:rPr>
          <w:b/>
          <w:bCs/>
          <w:color w:val="2E75B6"/>
          <w:sz w:val="28"/>
          <w:szCs w:val="28"/>
        </w:rPr>
        <w:t xml:space="preserve">What Updates Access Includes</w:t>
      </w:r>
    </w:p>
    <w:p>
      <w:pPr>
        <w:pStyle w:val="ListParagraph"/>
        <w:numPr>
          <w:ilvl w:val="0"/>
          <w:numId w:val="2"/>
        </w:numPr>
        <w:spacing w:after="80" w:line="280"/>
      </w:pPr>
      <w:r>
        <w:rPr>
          <w:sz w:val="22"/>
          <w:szCs w:val="22"/>
        </w:rPr>
        <w:t xml:space="preserve">Access to updated module materials when content is revised or expanded.</w:t>
      </w:r>
    </w:p>
    <w:p>
      <w:pPr>
        <w:pStyle w:val="ListParagraph"/>
        <w:numPr>
          <w:ilvl w:val="0"/>
          <w:numId w:val="2"/>
        </w:numPr>
        <w:spacing w:after="80" w:line="280"/>
      </w:pPr>
      <w:r>
        <w:rPr>
          <w:sz w:val="22"/>
          <w:szCs w:val="22"/>
        </w:rPr>
        <w:t xml:space="preserve">Monthly TenXPros Update Brief with curated AI signals, tool updates, regulatory shifts, and methodology refinements.</w:t>
      </w:r>
    </w:p>
    <w:p>
      <w:pPr>
        <w:pStyle w:val="ListParagraph"/>
        <w:numPr>
          <w:ilvl w:val="0"/>
          <w:numId w:val="2"/>
        </w:numPr>
        <w:spacing w:after="80" w:line="280"/>
      </w:pPr>
      <w:r>
        <w:rPr>
          <w:sz w:val="22"/>
          <w:szCs w:val="22"/>
        </w:rPr>
        <w:t xml:space="preserve">Updated templates and tools as the TenXPros library evolves.</w:t>
      </w:r>
    </w:p>
    <w:p>
      <w:pPr>
        <w:pStyle w:val="ListParagraph"/>
        <w:numPr>
          <w:ilvl w:val="0"/>
          <w:numId w:val="2"/>
        </w:numPr>
        <w:spacing w:after="80" w:line="280"/>
      </w:pPr>
      <w:r>
        <w:rPr>
          <w:sz w:val="22"/>
          <w:szCs w:val="22"/>
        </w:rPr>
        <w:t xml:space="preserve">Selected new case studies from working TenXPros in the field.</w:t>
      </w:r>
    </w:p>
    <w:p>
      <w:pPr>
        <w:pStyle w:val="ListParagraph"/>
        <w:numPr>
          <w:ilvl w:val="0"/>
          <w:numId w:val="2"/>
        </w:numPr>
        <w:spacing w:after="80" w:line="280"/>
      </w:pPr>
      <w:r>
        <w:rPr>
          <w:sz w:val="22"/>
          <w:szCs w:val="22"/>
        </w:rPr>
        <w:t xml:space="preserve">Quarterly founder Loom on major shifts in the AI landscape.</w:t>
      </w:r>
    </w:p>
    <w:p>
      <w:pPr>
        <w:pStyle w:val="ListParagraph"/>
        <w:numPr>
          <w:ilvl w:val="0"/>
          <w:numId w:val="2"/>
        </w:numPr>
        <w:spacing w:after="80" w:line="280"/>
      </w:pPr>
      <w:r>
        <w:rPr>
          <w:sz w:val="22"/>
          <w:szCs w:val="22"/>
        </w:rPr>
        <w:t xml:space="preserve">Continued alumni community access for the duration of the updates window.</w:t>
      </w:r>
    </w:p>
    <w:p>
      <w:pPr>
        <w:pStyle w:val="Heading2"/>
        <w:spacing w:after="160" w:before="280"/>
      </w:pPr>
      <w:r>
        <w:rPr>
          <w:b/>
          <w:bCs/>
          <w:color w:val="2E75B6"/>
          <w:sz w:val="28"/>
          <w:szCs w:val="28"/>
        </w:rPr>
        <w:t xml:space="preserve">Loyalty Discount by Tier</w:t>
      </w:r>
    </w:p>
    <w:p>
      <w:pPr>
        <w:pStyle w:val="ListParagraph"/>
        <w:numPr>
          <w:ilvl w:val="0"/>
          <w:numId w:val="2"/>
        </w:numPr>
        <w:spacing w:after="80" w:line="280"/>
      </w:pPr>
      <w:r>
        <w:rPr>
          <w:sz w:val="22"/>
          <w:szCs w:val="22"/>
        </w:rPr>
        <w:t xml:space="preserve">Tier 1 (Founding Charter): 25% loyalty discount on all future TenXPros products, programs, consultations, and add-ons. Valid for 3 years from program start.</w:t>
      </w:r>
    </w:p>
    <w:p>
      <w:pPr>
        <w:pStyle w:val="ListParagraph"/>
        <w:numPr>
          <w:ilvl w:val="0"/>
          <w:numId w:val="2"/>
        </w:numPr>
        <w:spacing w:after="80" w:line="280"/>
      </w:pPr>
      <w:r>
        <w:rPr>
          <w:sz w:val="22"/>
          <w:szCs w:val="22"/>
        </w:rPr>
        <w:t xml:space="preserve">Tier 2 (Early Charter): 20% loyalty discount. Valid for 3 years.</w:t>
      </w:r>
    </w:p>
    <w:p>
      <w:pPr>
        <w:pStyle w:val="ListParagraph"/>
        <w:numPr>
          <w:ilvl w:val="0"/>
          <w:numId w:val="2"/>
        </w:numPr>
        <w:spacing w:after="80" w:line="280"/>
      </w:pPr>
      <w:r>
        <w:rPr>
          <w:sz w:val="22"/>
          <w:szCs w:val="22"/>
        </w:rPr>
        <w:t xml:space="preserve">Tier 3 (Late Charter): 15% loyalty discount. Valid for 3 years.</w:t>
      </w:r>
    </w:p>
    <w:p>
      <w:pPr>
        <w:pStyle w:val="ListParagraph"/>
        <w:numPr>
          <w:ilvl w:val="0"/>
          <w:numId w:val="2"/>
        </w:numPr>
        <w:spacing w:after="80" w:line="280"/>
      </w:pPr>
      <w:r>
        <w:rPr>
          <w:sz w:val="22"/>
          <w:szCs w:val="22"/>
        </w:rPr>
        <w:t xml:space="preserve">Tier 4 (Final Charter): 10% loyalty discount. Valid for 2 years.</w:t>
      </w:r>
    </w:p>
    <w:p>
      <w:pPr>
        <w:pStyle w:val="ListParagraph"/>
        <w:numPr>
          <w:ilvl w:val="0"/>
          <w:numId w:val="2"/>
        </w:numPr>
        <w:spacing w:after="80" w:line="280"/>
      </w:pPr>
      <w:r>
        <w:rPr>
          <w:sz w:val="22"/>
          <w:szCs w:val="22"/>
        </w:rPr>
        <w:t xml:space="preserve">Standard pricing: no loyalty discount (standard pricing applies).</w:t>
      </w:r>
    </w:p>
    <w:p>
      <w:pPr>
        <w:pStyle w:val="Heading2"/>
        <w:spacing w:after="160" w:before="280"/>
      </w:pPr>
      <w:r>
        <w:rPr>
          <w:b/>
          <w:bCs/>
          <w:color w:val="2E75B6"/>
          <w:sz w:val="28"/>
          <w:szCs w:val="28"/>
        </w:rPr>
        <w:t xml:space="preserve">After the Updates Window Ends</w:t>
      </w:r>
    </w:p>
    <w:p>
      <w:pPr>
        <w:spacing w:after="120" w:line="300"/>
        <w:jc w:val="left"/>
      </w:pPr>
      <w:r>
        <w:rPr>
          <w:sz w:val="22"/>
          <w:szCs w:val="22"/>
        </w:rPr>
        <w:t xml:space="preserve">When the included updates window ends, graduates may continue with TenXPro Radar — the alumni-only update membership — at the prevailing monthly rate. The shorter updates window for newer tiers is by design: it encourages alumni to consider Radar membership as a continuing benefit, which sustains the program's ability to keep delivering value to graduates over the long term.</w:t>
      </w:r>
    </w:p>
    <w:p>
      <w:r>
        <w:br w:type="page"/>
      </w:r>
    </w:p>
    <w:p>
      <w:pPr>
        <w:pStyle w:val="Heading1"/>
        <w:spacing w:after="200" w:before="360"/>
      </w:pPr>
      <w:r>
        <w:rPr>
          <w:b/>
          <w:bCs/>
          <w:color w:val="1F4E79"/>
          <w:sz w:val="36"/>
          <w:szCs w:val="36"/>
        </w:rPr>
        <w:t xml:space="preserve">28. Alumni: TenXPro Radar</w:t>
      </w:r>
    </w:p>
    <w:p>
      <w:pPr>
        <w:pStyle w:val="Heading2"/>
        <w:spacing w:after="160" w:before="280"/>
      </w:pPr>
      <w:r>
        <w:rPr>
          <w:b/>
          <w:bCs/>
          <w:color w:val="2E75B6"/>
          <w:sz w:val="28"/>
          <w:szCs w:val="28"/>
        </w:rPr>
        <w:t xml:space="preserve">What TenXPro Radar Is</w:t>
      </w:r>
    </w:p>
    <w:p>
      <w:pPr>
        <w:spacing w:after="120" w:line="300"/>
        <w:jc w:val="left"/>
      </w:pPr>
      <w:r>
        <w:rPr>
          <w:sz w:val="22"/>
          <w:szCs w:val="22"/>
        </w:rPr>
        <w:t xml:space="preserve">TenXPro Radar is the alumni-only update membership for graduates of the TenXPros program. It begins after the included updates window ends and allows certified TenXPros to remain current as the AI landscape evolves.</w:t>
      </w:r>
    </w:p>
    <w:p>
      <w:pPr>
        <w:pStyle w:val="Heading2"/>
        <w:spacing w:after="160" w:before="280"/>
      </w:pPr>
      <w:r>
        <w:rPr>
          <w:b/>
          <w:bCs/>
          <w:color w:val="2E75B6"/>
          <w:sz w:val="28"/>
          <w:szCs w:val="28"/>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EAF1F8" w:val="clear"/>
            <w:tcMar>
              <w:top w:type="dxa" w:w="200"/>
              <w:left w:type="dxa" w:w="280"/>
              <w:bottom w:type="dxa" w:w="200"/>
              <w:right w:type="dxa" w:w="280"/>
            </w:tcMar>
          </w:tcPr>
          <w:p>
            <w:pPr>
              <w:spacing w:after="100"/>
            </w:pPr>
            <w:r>
              <w:rPr>
                <w:b/>
                <w:bCs/>
                <w:color w:val="1F4E79"/>
                <w:sz w:val="24"/>
                <w:szCs w:val="24"/>
              </w:rPr>
              <w:t xml:space="preserve">Radar membership</w:t>
            </w:r>
          </w:p>
          <w:p>
            <w:pPr>
              <w:spacing w:after="0"/>
            </w:pPr>
            <w:r>
              <w:rPr>
                <w:color w:val="262626"/>
                <w:sz w:val="22"/>
                <w:szCs w:val="22"/>
              </w:rPr>
              <w:t xml:space="preserve">$99 USD per month, available only to graduates of the TenXPros program. Charter tier members receive their tier loyalty discount on Radar for the duration of their loyalty window.</w:t>
            </w:r>
          </w:p>
        </w:tc>
      </w:tr>
    </w:tbl>
    <w:p>
      <w:pPr>
        <w:pStyle w:val="Heading2"/>
        <w:spacing w:after="160" w:before="280"/>
      </w:pPr>
      <w:r>
        <w:rPr>
          <w:b/>
          <w:bCs/>
          <w:color w:val="2E75B6"/>
          <w:sz w:val="28"/>
          <w:szCs w:val="28"/>
        </w:rPr>
        <w:t xml:space="preserve">What Radar Includes</w:t>
      </w:r>
    </w:p>
    <w:p>
      <w:pPr>
        <w:pStyle w:val="ListParagraph"/>
        <w:numPr>
          <w:ilvl w:val="0"/>
          <w:numId w:val="2"/>
        </w:numPr>
        <w:spacing w:after="80" w:line="280"/>
      </w:pPr>
      <w:r>
        <w:rPr>
          <w:sz w:val="22"/>
          <w:szCs w:val="22"/>
        </w:rPr>
        <w:t xml:space="preserve">Continued alumni-only community access.</w:t>
      </w:r>
    </w:p>
    <w:p>
      <w:pPr>
        <w:pStyle w:val="ListParagraph"/>
        <w:numPr>
          <w:ilvl w:val="0"/>
          <w:numId w:val="2"/>
        </w:numPr>
        <w:spacing w:after="80" w:line="280"/>
      </w:pPr>
      <w:r>
        <w:rPr>
          <w:sz w:val="22"/>
          <w:szCs w:val="22"/>
        </w:rPr>
        <w:t xml:space="preserve">Monthly AI capability and adoption update briefs.</w:t>
      </w:r>
    </w:p>
    <w:p>
      <w:pPr>
        <w:pStyle w:val="ListParagraph"/>
        <w:numPr>
          <w:ilvl w:val="0"/>
          <w:numId w:val="2"/>
        </w:numPr>
        <w:spacing w:after="80" w:line="280"/>
      </w:pPr>
      <w:r>
        <w:rPr>
          <w:sz w:val="22"/>
          <w:szCs w:val="22"/>
        </w:rPr>
        <w:t xml:space="preserve">Responsible AI alerts when material changes occur in best practices, regulations, or risk landscape.</w:t>
      </w:r>
    </w:p>
    <w:p>
      <w:pPr>
        <w:pStyle w:val="ListParagraph"/>
        <w:numPr>
          <w:ilvl w:val="0"/>
          <w:numId w:val="2"/>
        </w:numPr>
        <w:spacing w:after="80" w:line="280"/>
      </w:pPr>
      <w:r>
        <w:rPr>
          <w:sz w:val="22"/>
          <w:szCs w:val="22"/>
        </w:rPr>
        <w:t xml:space="preserve">Privacy, security, and compliance updates relevant to professional AI use.</w:t>
      </w:r>
    </w:p>
    <w:p>
      <w:pPr>
        <w:pStyle w:val="ListParagraph"/>
        <w:numPr>
          <w:ilvl w:val="0"/>
          <w:numId w:val="2"/>
        </w:numPr>
        <w:spacing w:after="80" w:line="280"/>
      </w:pPr>
      <w:r>
        <w:rPr>
          <w:sz w:val="22"/>
          <w:szCs w:val="22"/>
        </w:rPr>
        <w:t xml:space="preserve">Tool and template updates as the TenXPros library evolves.</w:t>
      </w:r>
    </w:p>
    <w:p>
      <w:pPr>
        <w:pStyle w:val="ListParagraph"/>
        <w:numPr>
          <w:ilvl w:val="0"/>
          <w:numId w:val="2"/>
        </w:numPr>
        <w:spacing w:after="80" w:line="280"/>
      </w:pPr>
      <w:r>
        <w:rPr>
          <w:sz w:val="22"/>
          <w:szCs w:val="22"/>
        </w:rPr>
        <w:t xml:space="preserve">Case studies from working TenXPros applying the methodology in their fields.</w:t>
      </w:r>
    </w:p>
    <w:p>
      <w:pPr>
        <w:pStyle w:val="ListParagraph"/>
        <w:numPr>
          <w:ilvl w:val="0"/>
          <w:numId w:val="2"/>
        </w:numPr>
        <w:spacing w:after="80" w:line="280"/>
      </w:pPr>
      <w:r>
        <w:rPr>
          <w:sz w:val="22"/>
          <w:szCs w:val="22"/>
        </w:rPr>
        <w:t xml:space="preserve">Quarterly Foresight Brief — extending the Module 11 discipline into ongoing practice.</w:t>
      </w:r>
    </w:p>
    <w:p>
      <w:pPr>
        <w:pStyle w:val="ListParagraph"/>
        <w:numPr>
          <w:ilvl w:val="0"/>
          <w:numId w:val="2"/>
        </w:numPr>
        <w:spacing w:after="80" w:line="280"/>
      </w:pPr>
      <w:r>
        <w:rPr>
          <w:sz w:val="22"/>
          <w:szCs w:val="22"/>
        </w:rPr>
        <w:t xml:space="preserve">Continued Directory profile maintenance.</w:t>
      </w:r>
    </w:p>
    <w:p>
      <w:pPr>
        <w:pStyle w:val="Heading2"/>
        <w:spacing w:after="160" w:before="280"/>
      </w:pPr>
      <w:r>
        <w:rPr>
          <w:b/>
          <w:bCs/>
          <w:color w:val="2E75B6"/>
          <w:sz w:val="28"/>
          <w:szCs w:val="28"/>
        </w:rPr>
        <w:t xml:space="preserve">What Radar Does Not Include</w:t>
      </w:r>
    </w:p>
    <w:p>
      <w:pPr>
        <w:pStyle w:val="ListParagraph"/>
        <w:numPr>
          <w:ilvl w:val="0"/>
          <w:numId w:val="2"/>
        </w:numPr>
        <w:spacing w:after="80" w:line="280"/>
      </w:pPr>
      <w:r>
        <w:rPr>
          <w:sz w:val="22"/>
          <w:szCs w:val="22"/>
        </w:rPr>
        <w:t xml:space="preserve">Free private coaching or consultation.</w:t>
      </w:r>
    </w:p>
    <w:p>
      <w:pPr>
        <w:pStyle w:val="ListParagraph"/>
        <w:numPr>
          <w:ilvl w:val="0"/>
          <w:numId w:val="2"/>
        </w:numPr>
        <w:spacing w:after="80" w:line="280"/>
      </w:pPr>
      <w:r>
        <w:rPr>
          <w:sz w:val="22"/>
          <w:szCs w:val="22"/>
        </w:rPr>
        <w:t xml:space="preserve">Free expert domain review.</w:t>
      </w:r>
    </w:p>
    <w:p>
      <w:pPr>
        <w:pStyle w:val="ListParagraph"/>
        <w:numPr>
          <w:ilvl w:val="0"/>
          <w:numId w:val="2"/>
        </w:numPr>
        <w:spacing w:after="80" w:line="280"/>
      </w:pPr>
      <w:r>
        <w:rPr>
          <w:sz w:val="22"/>
          <w:szCs w:val="22"/>
        </w:rPr>
        <w:t xml:space="preserve">Free certification renewal.</w:t>
      </w:r>
    </w:p>
    <w:p>
      <w:pPr>
        <w:pStyle w:val="ListParagraph"/>
        <w:numPr>
          <w:ilvl w:val="0"/>
          <w:numId w:val="2"/>
        </w:numPr>
        <w:spacing w:after="80" w:line="280"/>
      </w:pPr>
      <w:r>
        <w:rPr>
          <w:sz w:val="22"/>
          <w:szCs w:val="22"/>
        </w:rPr>
        <w:t xml:space="preserve">Free Capstone or Dossier review.</w:t>
      </w:r>
    </w:p>
    <w:p>
      <w:pPr>
        <w:pStyle w:val="ListParagraph"/>
        <w:numPr>
          <w:ilvl w:val="0"/>
          <w:numId w:val="2"/>
        </w:numPr>
        <w:spacing w:after="80" w:line="280"/>
      </w:pPr>
      <w:r>
        <w:rPr>
          <w:sz w:val="22"/>
          <w:szCs w:val="22"/>
        </w:rPr>
        <w:t xml:space="preserve">Unlimited support.</w:t>
      </w:r>
    </w:p>
    <w:p>
      <w:pPr>
        <w:pStyle w:val="ListParagraph"/>
        <w:numPr>
          <w:ilvl w:val="0"/>
          <w:numId w:val="2"/>
        </w:numPr>
        <w:spacing w:after="80" w:line="280"/>
      </w:pPr>
      <w:r>
        <w:rPr>
          <w:sz w:val="22"/>
          <w:szCs w:val="22"/>
        </w:rPr>
        <w:t xml:space="preserve">Done-for-you work.</w:t>
      </w:r>
    </w:p>
    <w:p>
      <w:r>
        <w:br w:type="page"/>
      </w:r>
    </w:p>
    <w:p>
      <w:pPr>
        <w:pStyle w:val="Heading1"/>
        <w:spacing w:after="200" w:before="360"/>
      </w:pPr>
      <w:r>
        <w:rPr>
          <w:b/>
          <w:bCs/>
          <w:color w:val="1F4E79"/>
          <w:sz w:val="36"/>
          <w:szCs w:val="36"/>
        </w:rPr>
        <w:t xml:space="preserve">29. Why This Model Will Succeed</w:t>
      </w:r>
    </w:p>
    <w:p>
      <w:pPr>
        <w:spacing w:after="120" w:line="300"/>
        <w:jc w:val="left"/>
      </w:pPr>
      <w:r>
        <w:rPr>
          <w:sz w:val="22"/>
          <w:szCs w:val="22"/>
        </w:rPr>
        <w:t xml:space="preserve">Every founder must articulate honestly why their model has a real chance to succeed. The TenXPros model rests on nine specific strengths.</w:t>
      </w:r>
    </w:p>
    <w:p>
      <w:pPr>
        <w:pStyle w:val="Heading2"/>
        <w:spacing w:after="160" w:before="280"/>
      </w:pPr>
      <w:r>
        <w:rPr>
          <w:b/>
          <w:bCs/>
          <w:color w:val="2E75B6"/>
          <w:sz w:val="28"/>
          <w:szCs w:val="28"/>
        </w:rPr>
        <w:t xml:space="preserve">1. The Partnership Framing Solves the Credibility Problem</w:t>
      </w:r>
    </w:p>
    <w:p>
      <w:pPr>
        <w:spacing w:after="120" w:line="300"/>
        <w:jc w:val="left"/>
      </w:pPr>
      <w:r>
        <w:rPr>
          <w:sz w:val="22"/>
          <w:szCs w:val="22"/>
        </w:rPr>
        <w:t xml:space="preserve">"You bring the domain, we bring the AI method" removes the impossible demand that the founder be expert in every field. The doctor remains the medical authority. The lawyer remains the legal authority. TenXPros is the AI authority.</w:t>
      </w:r>
    </w:p>
    <w:p>
      <w:pPr>
        <w:pStyle w:val="Heading2"/>
        <w:spacing w:after="160" w:before="280"/>
      </w:pPr>
      <w:r>
        <w:rPr>
          <w:b/>
          <w:bCs/>
          <w:color w:val="2E75B6"/>
          <w:sz w:val="28"/>
          <w:szCs w:val="28"/>
        </w:rPr>
        <w:t xml:space="preserve">2. The Dossier Is a Defensible Output</w:t>
      </w:r>
    </w:p>
    <w:p>
      <w:pPr>
        <w:spacing w:after="120" w:line="300"/>
        <w:jc w:val="left"/>
      </w:pPr>
      <w:r>
        <w:rPr>
          <w:sz w:val="22"/>
          <w:szCs w:val="22"/>
        </w:rPr>
        <w:t xml:space="preserve">Most AI certifications offer attendance credentials. TenXPros offers a defensible portfolio. Anyone can record videos. Anyone can offer a Slack community. But building a structured, reviewed Dossier process is genuinely difficult and creates lasting differentiation.</w:t>
      </w:r>
    </w:p>
    <w:p>
      <w:pPr>
        <w:pStyle w:val="Heading2"/>
        <w:spacing w:after="160" w:before="280"/>
      </w:pPr>
      <w:r>
        <w:rPr>
          <w:b/>
          <w:bCs/>
          <w:color w:val="2E75B6"/>
          <w:sz w:val="28"/>
          <w:szCs w:val="28"/>
        </w:rPr>
        <w:t xml:space="preserve">3. The Coach System Creates Premium Experience</w:t>
      </w:r>
    </w:p>
    <w:p>
      <w:pPr>
        <w:spacing w:after="120" w:line="300"/>
        <w:jc w:val="left"/>
      </w:pPr>
      <w:r>
        <w:rPr>
          <w:sz w:val="22"/>
          <w:szCs w:val="22"/>
        </w:rPr>
        <w:t xml:space="preserve">Personal coaching for 12 weeks is the experience layer that distinguishes TenXPros from courses. Founder-led for early charter members, with a coach team developed progressively from program graduates, the model scales sustainably while preserving the human anchor that async learning needs.</w:t>
      </w:r>
    </w:p>
    <w:p>
      <w:pPr>
        <w:pStyle w:val="Heading2"/>
        <w:spacing w:after="160" w:before="280"/>
      </w:pPr>
      <w:r>
        <w:rPr>
          <w:b/>
          <w:bCs/>
          <w:color w:val="2E75B6"/>
          <w:sz w:val="28"/>
          <w:szCs w:val="28"/>
        </w:rPr>
        <w:t xml:space="preserve">4. The Directory Creates Real Professional Outcomes</w:t>
      </w:r>
    </w:p>
    <w:p>
      <w:pPr>
        <w:spacing w:after="120" w:line="300"/>
        <w:jc w:val="left"/>
      </w:pPr>
      <w:r>
        <w:rPr>
          <w:sz w:val="22"/>
          <w:szCs w:val="22"/>
        </w:rPr>
        <w:t xml:space="preserve">Most certifications end with a credential. TenXPros ends with a credential plus a visible, professional profile that organizations can discover. The Directory transforms TenXPros from a program into an ongoing professional asset and produces real opportunities for graduates.</w:t>
      </w:r>
    </w:p>
    <w:p>
      <w:pPr>
        <w:pStyle w:val="Heading2"/>
        <w:spacing w:after="160" w:before="280"/>
      </w:pPr>
      <w:r>
        <w:rPr>
          <w:b/>
          <w:bCs/>
          <w:color w:val="2E75B6"/>
          <w:sz w:val="28"/>
          <w:szCs w:val="28"/>
        </w:rPr>
        <w:t xml:space="preserve">5. The Coach Pipeline Builds a Self-Sustaining Ecosystem</w:t>
      </w:r>
    </w:p>
    <w:p>
      <w:pPr>
        <w:spacing w:after="120" w:line="300"/>
        <w:jc w:val="left"/>
      </w:pPr>
      <w:r>
        <w:rPr>
          <w:sz w:val="22"/>
          <w:szCs w:val="22"/>
        </w:rPr>
        <w:t xml:space="preserve">Inviting selected alumni into coaching creates a virtuous cycle: graduates earn meaningful side income, TenXPros scales its delivery capacity, and the community becomes a place where professionals certify, teach, earn, and build long-term identity.</w:t>
      </w:r>
    </w:p>
    <w:p>
      <w:pPr>
        <w:pStyle w:val="Heading2"/>
        <w:spacing w:after="160" w:before="280"/>
      </w:pPr>
      <w:r>
        <w:rPr>
          <w:b/>
          <w:bCs/>
          <w:color w:val="2E75B6"/>
          <w:sz w:val="28"/>
          <w:szCs w:val="28"/>
        </w:rPr>
        <w:t xml:space="preserve">6. Async-First Is a Genuine Advantage</w:t>
      </w:r>
    </w:p>
    <w:p>
      <w:pPr>
        <w:spacing w:after="120" w:line="300"/>
        <w:jc w:val="left"/>
      </w:pPr>
      <w:r>
        <w:rPr>
          <w:sz w:val="22"/>
          <w:szCs w:val="22"/>
        </w:rPr>
        <w:t xml:space="preserve">Working professionals do not want more mandatory meetings. They want substantive work and structured feedback on their own time. Async-first respects participants and the founder, and reaches a global audience.</w:t>
      </w:r>
    </w:p>
    <w:p>
      <w:pPr>
        <w:pStyle w:val="Heading2"/>
        <w:spacing w:after="160" w:before="280"/>
      </w:pPr>
      <w:r>
        <w:rPr>
          <w:b/>
          <w:bCs/>
          <w:color w:val="2E75B6"/>
          <w:sz w:val="28"/>
          <w:szCs w:val="28"/>
        </w:rPr>
        <w:t xml:space="preserve">7. Adaptive Personalization Is a Real Moat</w:t>
      </w:r>
    </w:p>
    <w:p>
      <w:pPr>
        <w:spacing w:after="120" w:line="300"/>
        <w:jc w:val="left"/>
      </w:pPr>
      <w:r>
        <w:rPr>
          <w:sz w:val="22"/>
          <w:szCs w:val="22"/>
        </w:rPr>
        <w:t xml:space="preserve">Generic AI courses cannot personalize. Cohort programs deliver the same content to everyone in the cohort. TenXPros personalizes across eight dimensions. This is operationally hard, which is precisely why it is defensible.</w:t>
      </w:r>
    </w:p>
    <w:p>
      <w:pPr>
        <w:pStyle w:val="Heading2"/>
        <w:spacing w:after="160" w:before="280"/>
      </w:pPr>
      <w:r>
        <w:rPr>
          <w:b/>
          <w:bCs/>
          <w:color w:val="2E75B6"/>
          <w:sz w:val="28"/>
          <w:szCs w:val="28"/>
        </w:rPr>
        <w:t xml:space="preserve">8. The Foresight Discipline Is a Unique Differentiator</w:t>
      </w:r>
    </w:p>
    <w:p>
      <w:pPr>
        <w:spacing w:after="120" w:line="300"/>
        <w:jc w:val="left"/>
      </w:pPr>
      <w:r>
        <w:rPr>
          <w:sz w:val="22"/>
          <w:szCs w:val="22"/>
        </w:rPr>
        <w:t xml:space="preserve">No major AI certification includes scenario planning and foresight as core capability. TenXPros does. This is what makes the credential durable, not just current. As AI evolves, certified TenXPros have the discipline to evolve with it.</w:t>
      </w:r>
    </w:p>
    <w:p>
      <w:pPr>
        <w:pStyle w:val="Heading2"/>
        <w:spacing w:after="160" w:before="280"/>
      </w:pPr>
      <w:r>
        <w:rPr>
          <w:b/>
          <w:bCs/>
          <w:color w:val="2E75B6"/>
          <w:sz w:val="28"/>
          <w:szCs w:val="28"/>
        </w:rPr>
        <w:t xml:space="preserve">9. Selectivity and Tiered Pricing Protect the Credential</w:t>
      </w:r>
    </w:p>
    <w:p>
      <w:pPr>
        <w:spacing w:after="120" w:line="300"/>
        <w:jc w:val="left"/>
      </w:pPr>
      <w:r>
        <w:rPr>
          <w:sz w:val="22"/>
          <w:szCs w:val="22"/>
        </w:rPr>
        <w:t xml:space="preserve">Open-enrollment certifications are worth what people pay for them, which is increasingly little. Selective admission, real assessment, and honest five-tier charter pricing preserve the credential's meaning while recognizing real risk taken by early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FFF4E5" w:val="clear"/>
            <w:tcMar>
              <w:top w:type="dxa" w:w="200"/>
              <w:left w:type="dxa" w:w="280"/>
              <w:bottom w:type="dxa" w:w="200"/>
              <w:right w:type="dxa" w:w="280"/>
            </w:tcMar>
          </w:tcPr>
          <w:p>
            <w:pPr>
              <w:spacing w:after="100"/>
            </w:pPr>
            <w:r>
              <w:rPr>
                <w:b/>
                <w:bCs/>
                <w:color w:val="1F4E79"/>
                <w:sz w:val="24"/>
                <w:szCs w:val="24"/>
              </w:rPr>
              <w:t xml:space="preserve">The honest summary</w:t>
            </w:r>
          </w:p>
          <w:p>
            <w:pPr>
              <w:spacing w:after="0"/>
            </w:pPr>
            <w:r>
              <w:rPr>
                <w:color w:val="262626"/>
                <w:sz w:val="22"/>
                <w:szCs w:val="22"/>
              </w:rPr>
              <w:t xml:space="preserve">TenXPros is not a sure thing. No new business is. But it has a coherent framing, a defensible output, a coach-supported delivery, a Directory that creates real opportunities, a Coach Pipeline that builds ecosystem, a real personalization advantage, a forward-looking foresight discipline, a credential-protecting admission process, and a sustainable model for a solo founder building toward a coach team. These nine strengths together give the program a realistic chance to succeed.</w:t>
            </w:r>
          </w:p>
        </w:tc>
      </w:tr>
    </w:tbl>
    <w:p>
      <w:r>
        <w:br w:type="page"/>
      </w:r>
    </w:p>
    <w:p>
      <w:pPr>
        <w:pStyle w:val="Heading1"/>
        <w:spacing w:after="200" w:before="360"/>
      </w:pPr>
      <w:r>
        <w:rPr>
          <w:b/>
          <w:bCs/>
          <w:color w:val="1F4E79"/>
          <w:sz w:val="36"/>
          <w:szCs w:val="36"/>
        </w:rPr>
        <w:t xml:space="preserve">30. Operational Roadmap: First 12 Months</w:t>
      </w:r>
    </w:p>
    <w:p>
      <w:pPr>
        <w:pStyle w:val="Heading2"/>
        <w:spacing w:after="160" w:before="280"/>
      </w:pPr>
      <w:r>
        <w:rPr>
          <w:b/>
          <w:bCs/>
          <w:color w:val="2E75B6"/>
          <w:sz w:val="28"/>
          <w:szCs w:val="28"/>
        </w:rPr>
        <w:t xml:space="preserve">Months 1–3: Founding Charter (Members 1-10 at $997)</w:t>
      </w:r>
    </w:p>
    <w:p>
      <w:pPr>
        <w:pStyle w:val="ListParagraph"/>
        <w:numPr>
          <w:ilvl w:val="0"/>
          <w:numId w:val="2"/>
        </w:numPr>
        <w:spacing w:after="80" w:line="280"/>
      </w:pPr>
      <w:r>
        <w:rPr>
          <w:sz w:val="22"/>
          <w:szCs w:val="22"/>
        </w:rPr>
        <w:t xml:space="preserve">Build landing page with five-tier pricing structure, partnership framing, and Directory announcement.</w:t>
      </w:r>
    </w:p>
    <w:p>
      <w:pPr>
        <w:pStyle w:val="ListParagraph"/>
        <w:numPr>
          <w:ilvl w:val="0"/>
          <w:numId w:val="2"/>
        </w:numPr>
        <w:spacing w:after="80" w:line="280"/>
      </w:pPr>
      <w:r>
        <w:rPr>
          <w:sz w:val="22"/>
          <w:szCs w:val="22"/>
        </w:rPr>
        <w:t xml:space="preserve">Complete Phase 1 (Frame) materials in full before launch.</w:t>
      </w:r>
    </w:p>
    <w:p>
      <w:pPr>
        <w:pStyle w:val="ListParagraph"/>
        <w:numPr>
          <w:ilvl w:val="0"/>
          <w:numId w:val="2"/>
        </w:numPr>
        <w:spacing w:after="80" w:line="280"/>
      </w:pPr>
      <w:r>
        <w:rPr>
          <w:sz w:val="22"/>
          <w:szCs w:val="22"/>
        </w:rPr>
        <w:t xml:space="preserve">Begin Phase 2 (Design) materials development in parallel.</w:t>
      </w:r>
    </w:p>
    <w:p>
      <w:pPr>
        <w:pStyle w:val="ListParagraph"/>
        <w:numPr>
          <w:ilvl w:val="0"/>
          <w:numId w:val="2"/>
        </w:numPr>
        <w:spacing w:after="80" w:line="280"/>
      </w:pPr>
      <w:r>
        <w:rPr>
          <w:sz w:val="22"/>
          <w:szCs w:val="22"/>
        </w:rPr>
        <w:t xml:space="preserve">Launch with public charter announcement.</w:t>
      </w:r>
    </w:p>
    <w:p>
      <w:pPr>
        <w:pStyle w:val="ListParagraph"/>
        <w:numPr>
          <w:ilvl w:val="0"/>
          <w:numId w:val="2"/>
        </w:numPr>
        <w:spacing w:after="80" w:line="280"/>
      </w:pPr>
      <w:r>
        <w:rPr>
          <w:sz w:val="22"/>
          <w:szCs w:val="22"/>
        </w:rPr>
        <w:t xml:space="preserve">Outreach: warm network, LinkedIn content, podcast outreach.</w:t>
      </w:r>
    </w:p>
    <w:p>
      <w:pPr>
        <w:pStyle w:val="ListParagraph"/>
        <w:numPr>
          <w:ilvl w:val="0"/>
          <w:numId w:val="2"/>
        </w:numPr>
        <w:spacing w:after="80" w:line="280"/>
      </w:pPr>
      <w:r>
        <w:rPr>
          <w:sz w:val="22"/>
          <w:szCs w:val="22"/>
        </w:rPr>
        <w:t xml:space="preserve">Goal: 10 Founding Charter members admitted by end of Month 3.</w:t>
      </w:r>
    </w:p>
    <w:p>
      <w:pPr>
        <w:pStyle w:val="ListParagraph"/>
        <w:numPr>
          <w:ilvl w:val="0"/>
          <w:numId w:val="2"/>
        </w:numPr>
        <w:spacing w:after="80" w:line="280"/>
      </w:pPr>
      <w:r>
        <w:rPr>
          <w:sz w:val="22"/>
          <w:szCs w:val="22"/>
        </w:rPr>
        <w:t xml:space="preserve">Revenue at this stage: 10 × $997 = $9,970.</w:t>
      </w:r>
    </w:p>
    <w:p>
      <w:pPr>
        <w:pStyle w:val="Heading2"/>
        <w:spacing w:after="160" w:before="280"/>
      </w:pPr>
      <w:r>
        <w:rPr>
          <w:b/>
          <w:bCs/>
          <w:color w:val="2E75B6"/>
          <w:sz w:val="28"/>
          <w:szCs w:val="28"/>
        </w:rPr>
        <w:t xml:space="preserve">Months 3–5: Early Charter (Members 11-20 at $1,247)</w:t>
      </w:r>
    </w:p>
    <w:p>
      <w:pPr>
        <w:pStyle w:val="ListParagraph"/>
        <w:numPr>
          <w:ilvl w:val="0"/>
          <w:numId w:val="2"/>
        </w:numPr>
        <w:spacing w:after="80" w:line="280"/>
      </w:pPr>
      <w:r>
        <w:rPr>
          <w:sz w:val="22"/>
          <w:szCs w:val="22"/>
        </w:rPr>
        <w:t xml:space="preserve">Complete Phase 2 (Design) materials.</w:t>
      </w:r>
    </w:p>
    <w:p>
      <w:pPr>
        <w:pStyle w:val="ListParagraph"/>
        <w:numPr>
          <w:ilvl w:val="0"/>
          <w:numId w:val="2"/>
        </w:numPr>
        <w:spacing w:after="80" w:line="280"/>
      </w:pPr>
      <w:r>
        <w:rPr>
          <w:sz w:val="22"/>
          <w:szCs w:val="22"/>
        </w:rPr>
        <w:t xml:space="preserve">Begin Phase 3 (Prove) and Phase 4 (Foresee) materials development.</w:t>
      </w:r>
    </w:p>
    <w:p>
      <w:pPr>
        <w:pStyle w:val="ListParagraph"/>
        <w:numPr>
          <w:ilvl w:val="0"/>
          <w:numId w:val="2"/>
        </w:numPr>
        <w:spacing w:after="80" w:line="280"/>
      </w:pPr>
      <w:r>
        <w:rPr>
          <w:sz w:val="22"/>
          <w:szCs w:val="22"/>
        </w:rPr>
        <w:t xml:space="preserve">Collect first testimonials and case study consents from Founding Charter.</w:t>
      </w:r>
    </w:p>
    <w:p>
      <w:pPr>
        <w:pStyle w:val="ListParagraph"/>
        <w:numPr>
          <w:ilvl w:val="0"/>
          <w:numId w:val="2"/>
        </w:numPr>
        <w:spacing w:after="80" w:line="280"/>
      </w:pPr>
      <w:r>
        <w:rPr>
          <w:sz w:val="22"/>
          <w:szCs w:val="22"/>
        </w:rPr>
        <w:t xml:space="preserve">Public announcement of Founding Charter close.</w:t>
      </w:r>
    </w:p>
    <w:p>
      <w:pPr>
        <w:pStyle w:val="ListParagraph"/>
        <w:numPr>
          <w:ilvl w:val="0"/>
          <w:numId w:val="2"/>
        </w:numPr>
        <w:spacing w:after="80" w:line="280"/>
      </w:pPr>
      <w:r>
        <w:rPr>
          <w:sz w:val="22"/>
          <w:szCs w:val="22"/>
        </w:rPr>
        <w:t xml:space="preserve">Goal: 10 Early Charter members admitted.</w:t>
      </w:r>
    </w:p>
    <w:p>
      <w:pPr>
        <w:pStyle w:val="ListParagraph"/>
        <w:numPr>
          <w:ilvl w:val="0"/>
          <w:numId w:val="2"/>
        </w:numPr>
        <w:spacing w:after="80" w:line="280"/>
      </w:pPr>
      <w:r>
        <w:rPr>
          <w:sz w:val="22"/>
          <w:szCs w:val="22"/>
        </w:rPr>
        <w:t xml:space="preserve">Revenue at this stage: 10 × $1,247 = $12,470.</w:t>
      </w:r>
    </w:p>
    <w:p>
      <w:pPr>
        <w:pStyle w:val="Heading2"/>
        <w:spacing w:after="160" w:before="280"/>
      </w:pPr>
      <w:r>
        <w:rPr>
          <w:b/>
          <w:bCs/>
          <w:color w:val="2E75B6"/>
          <w:sz w:val="28"/>
          <w:szCs w:val="28"/>
        </w:rPr>
        <w:t xml:space="preserve">Months 5–7: Late Charter (Members 21-30 at $1,497)</w:t>
      </w:r>
    </w:p>
    <w:p>
      <w:pPr>
        <w:pStyle w:val="ListParagraph"/>
        <w:numPr>
          <w:ilvl w:val="0"/>
          <w:numId w:val="2"/>
        </w:numPr>
        <w:spacing w:after="80" w:line="280"/>
      </w:pPr>
      <w:r>
        <w:rPr>
          <w:sz w:val="22"/>
          <w:szCs w:val="22"/>
        </w:rPr>
        <w:t xml:space="preserve">Complete all Phase 3 and Phase 4 materials.</w:t>
      </w:r>
    </w:p>
    <w:p>
      <w:pPr>
        <w:pStyle w:val="ListParagraph"/>
        <w:numPr>
          <w:ilvl w:val="0"/>
          <w:numId w:val="2"/>
        </w:numPr>
        <w:spacing w:after="80" w:line="280"/>
      </w:pPr>
      <w:r>
        <w:rPr>
          <w:sz w:val="22"/>
          <w:szCs w:val="22"/>
        </w:rPr>
        <w:t xml:space="preserve">First Founding Charter members reach Capstone.</w:t>
      </w:r>
    </w:p>
    <w:p>
      <w:pPr>
        <w:pStyle w:val="ListParagraph"/>
        <w:numPr>
          <w:ilvl w:val="0"/>
          <w:numId w:val="2"/>
        </w:numPr>
        <w:spacing w:after="80" w:line="280"/>
      </w:pPr>
      <w:r>
        <w:rPr>
          <w:sz w:val="22"/>
          <w:szCs w:val="22"/>
        </w:rPr>
        <w:t xml:space="preserve">First published case studies.</w:t>
      </w:r>
    </w:p>
    <w:p>
      <w:pPr>
        <w:pStyle w:val="ListParagraph"/>
        <w:numPr>
          <w:ilvl w:val="0"/>
          <w:numId w:val="2"/>
        </w:numPr>
        <w:spacing w:after="80" w:line="280"/>
      </w:pPr>
      <w:r>
        <w:rPr>
          <w:sz w:val="22"/>
          <w:szCs w:val="22"/>
        </w:rPr>
        <w:t xml:space="preserve">Begin TenXPros Directory technical development.</w:t>
      </w:r>
    </w:p>
    <w:p>
      <w:pPr>
        <w:pStyle w:val="ListParagraph"/>
        <w:numPr>
          <w:ilvl w:val="0"/>
          <w:numId w:val="2"/>
        </w:numPr>
        <w:spacing w:after="80" w:line="280"/>
      </w:pPr>
      <w:r>
        <w:rPr>
          <w:sz w:val="22"/>
          <w:szCs w:val="22"/>
        </w:rPr>
        <w:t xml:space="preserve">Goal: 10 Late Charter members admitted.</w:t>
      </w:r>
    </w:p>
    <w:p>
      <w:pPr>
        <w:pStyle w:val="ListParagraph"/>
        <w:numPr>
          <w:ilvl w:val="0"/>
          <w:numId w:val="2"/>
        </w:numPr>
        <w:spacing w:after="80" w:line="280"/>
      </w:pPr>
      <w:r>
        <w:rPr>
          <w:sz w:val="22"/>
          <w:szCs w:val="22"/>
        </w:rPr>
        <w:t xml:space="preserve">Revenue at this stage: 10 × $1,497 = $14,970.</w:t>
      </w:r>
    </w:p>
    <w:p>
      <w:pPr>
        <w:pStyle w:val="Heading2"/>
        <w:spacing w:after="160" w:before="280"/>
      </w:pPr>
      <w:r>
        <w:rPr>
          <w:b/>
          <w:bCs/>
          <w:color w:val="2E75B6"/>
          <w:sz w:val="28"/>
          <w:szCs w:val="28"/>
        </w:rPr>
        <w:t xml:space="preserve">Months 6–9: Directory Launches and Final Charter (Members 31-40 at $1,747)</w:t>
      </w:r>
    </w:p>
    <w:p>
      <w:pPr>
        <w:pStyle w:val="ListParagraph"/>
        <w:numPr>
          <w:ilvl w:val="0"/>
          <w:numId w:val="2"/>
        </w:numPr>
        <w:spacing w:after="80" w:line="280"/>
      </w:pPr>
      <w:r>
        <w:rPr>
          <w:sz w:val="22"/>
          <w:szCs w:val="22"/>
        </w:rPr>
        <w:t xml:space="preserve">TenXPros Directory launches publicly with all certified graduates.</w:t>
      </w:r>
    </w:p>
    <w:p>
      <w:pPr>
        <w:pStyle w:val="ListParagraph"/>
        <w:numPr>
          <w:ilvl w:val="0"/>
          <w:numId w:val="2"/>
        </w:numPr>
        <w:spacing w:after="80" w:line="280"/>
      </w:pPr>
      <w:r>
        <w:rPr>
          <w:sz w:val="22"/>
          <w:szCs w:val="22"/>
        </w:rPr>
        <w:t xml:space="preserve">Begin formal recruiting and training of first coaches from Founding Charter graduates.</w:t>
      </w:r>
    </w:p>
    <w:p>
      <w:pPr>
        <w:pStyle w:val="ListParagraph"/>
        <w:numPr>
          <w:ilvl w:val="0"/>
          <w:numId w:val="2"/>
        </w:numPr>
        <w:spacing w:after="80" w:line="280"/>
      </w:pPr>
      <w:r>
        <w:rPr>
          <w:sz w:val="22"/>
          <w:szCs w:val="22"/>
        </w:rPr>
        <w:t xml:space="preserve">Refine all program materials based on first 30 members' experience.</w:t>
      </w:r>
    </w:p>
    <w:p>
      <w:pPr>
        <w:pStyle w:val="ListParagraph"/>
        <w:numPr>
          <w:ilvl w:val="0"/>
          <w:numId w:val="2"/>
        </w:numPr>
        <w:spacing w:after="80" w:line="280"/>
      </w:pPr>
      <w:r>
        <w:rPr>
          <w:sz w:val="22"/>
          <w:szCs w:val="22"/>
        </w:rPr>
        <w:t xml:space="preserve">First TenXPros publicly use credential in LinkedIn and Directory profiles.</w:t>
      </w:r>
    </w:p>
    <w:p>
      <w:pPr>
        <w:pStyle w:val="ListParagraph"/>
        <w:numPr>
          <w:ilvl w:val="0"/>
          <w:numId w:val="2"/>
        </w:numPr>
        <w:spacing w:after="80" w:line="280"/>
      </w:pPr>
      <w:r>
        <w:rPr>
          <w:sz w:val="22"/>
          <w:szCs w:val="22"/>
        </w:rPr>
        <w:t xml:space="preserve">Internal target: at least one trained coach operational alongside the founder by start of Tier 4.</w:t>
      </w:r>
    </w:p>
    <w:p>
      <w:pPr>
        <w:pStyle w:val="ListParagraph"/>
        <w:numPr>
          <w:ilvl w:val="0"/>
          <w:numId w:val="2"/>
        </w:numPr>
        <w:spacing w:after="80" w:line="280"/>
      </w:pPr>
      <w:r>
        <w:rPr>
          <w:sz w:val="22"/>
          <w:szCs w:val="22"/>
        </w:rPr>
        <w:t xml:space="preserve">Goal: 10 Final Charter members admitted.</w:t>
      </w:r>
    </w:p>
    <w:p>
      <w:pPr>
        <w:pStyle w:val="ListParagraph"/>
        <w:numPr>
          <w:ilvl w:val="0"/>
          <w:numId w:val="2"/>
        </w:numPr>
        <w:spacing w:after="80" w:line="280"/>
      </w:pPr>
      <w:r>
        <w:rPr>
          <w:sz w:val="22"/>
          <w:szCs w:val="22"/>
        </w:rPr>
        <w:t xml:space="preserve">Revenue at this stage: 10 × $1,747 = $17,470.</w:t>
      </w:r>
    </w:p>
    <w:p>
      <w:pPr>
        <w:pStyle w:val="Heading2"/>
        <w:spacing w:after="160" w:before="280"/>
      </w:pPr>
      <w:r>
        <w:rPr>
          <w:b/>
          <w:bCs/>
          <w:color w:val="2E75B6"/>
          <w:sz w:val="28"/>
          <w:szCs w:val="28"/>
        </w:rPr>
        <w:t xml:space="preserve">Months 9–12: Standard Pricing Activates (Members 41+ at $1,997)</w:t>
      </w:r>
    </w:p>
    <w:p>
      <w:pPr>
        <w:pStyle w:val="ListParagraph"/>
        <w:numPr>
          <w:ilvl w:val="0"/>
          <w:numId w:val="2"/>
        </w:numPr>
        <w:spacing w:after="80" w:line="280"/>
      </w:pPr>
      <w:r>
        <w:rPr>
          <w:sz w:val="22"/>
          <w:szCs w:val="22"/>
        </w:rPr>
        <w:t xml:space="preserve">Coach team grows; founder shifts focus to community anchor role, content production, and high-stakes Capstone review.</w:t>
      </w:r>
    </w:p>
    <w:p>
      <w:pPr>
        <w:pStyle w:val="ListParagraph"/>
        <w:numPr>
          <w:ilvl w:val="0"/>
          <w:numId w:val="2"/>
        </w:numPr>
        <w:spacing w:after="80" w:line="280"/>
      </w:pPr>
      <w:r>
        <w:rPr>
          <w:sz w:val="22"/>
          <w:szCs w:val="22"/>
        </w:rPr>
        <w:t xml:space="preserve">Sustained content output: LinkedIn, podcast appearances, long-form writing.</w:t>
      </w:r>
    </w:p>
    <w:p>
      <w:pPr>
        <w:pStyle w:val="ListParagraph"/>
        <w:numPr>
          <w:ilvl w:val="0"/>
          <w:numId w:val="2"/>
        </w:numPr>
        <w:spacing w:after="80" w:line="280"/>
      </w:pPr>
      <w:r>
        <w:rPr>
          <w:sz w:val="22"/>
          <w:szCs w:val="22"/>
        </w:rPr>
        <w:t xml:space="preserve">Dynamic adaptation library begins to mature with anonymized patterns from 30+ Dossiers.</w:t>
      </w:r>
    </w:p>
    <w:p>
      <w:pPr>
        <w:pStyle w:val="ListParagraph"/>
        <w:numPr>
          <w:ilvl w:val="0"/>
          <w:numId w:val="2"/>
        </w:numPr>
        <w:spacing w:after="80" w:line="280"/>
      </w:pPr>
      <w:r>
        <w:rPr>
          <w:sz w:val="22"/>
          <w:szCs w:val="22"/>
        </w:rPr>
        <w:t xml:space="preserve">First Founding Charter members transitioning into Coach Pipeline if interested.</w:t>
      </w:r>
    </w:p>
    <w:p>
      <w:pPr>
        <w:pStyle w:val="ListParagraph"/>
        <w:numPr>
          <w:ilvl w:val="0"/>
          <w:numId w:val="2"/>
        </w:numPr>
        <w:spacing w:after="80" w:line="280"/>
      </w:pPr>
      <w:r>
        <w:rPr>
          <w:sz w:val="22"/>
          <w:szCs w:val="22"/>
        </w:rPr>
        <w:t xml:space="preserve">Goal: 10-25 additional members at $1,997 (dependent on coach team capacity and Directory pull).</w:t>
      </w:r>
    </w:p>
    <w:p>
      <w:pPr>
        <w:pStyle w:val="ListParagraph"/>
        <w:numPr>
          <w:ilvl w:val="0"/>
          <w:numId w:val="2"/>
        </w:numPr>
        <w:spacing w:after="80" w:line="280"/>
      </w:pPr>
      <w:r>
        <w:rPr>
          <w:sz w:val="22"/>
          <w:szCs w:val="22"/>
        </w:rPr>
        <w:t xml:space="preserve">Revenue at this stage: 10-25 × $1,997 = $19,970 – $49,925.</w:t>
      </w:r>
    </w:p>
    <w:p>
      <w:pPr>
        <w:pStyle w:val="Heading2"/>
        <w:spacing w:after="160" w:before="280"/>
      </w:pPr>
      <w:r>
        <w:rPr>
          <w:b/>
          <w:bCs/>
          <w:color w:val="2E75B6"/>
          <w:sz w:val="28"/>
          <w:szCs w:val="28"/>
        </w:rPr>
        <w:t xml:space="preserve">12-Month Revenue Projection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2"/>
                <w:szCs w:val="22"/>
              </w:rPr>
              <w:t xml:space="preserve">Scenario</w:t>
            </w:r>
          </w:p>
        </w:tc>
        <w:tc>
          <w:tcPr>
            <w:tcW w:type="dxa" w:w="312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2"/>
                <w:szCs w:val="22"/>
              </w:rPr>
              <w:t xml:space="preserve">Members Admitted</w:t>
            </w:r>
          </w:p>
        </w:tc>
        <w:tc>
          <w:tcPr>
            <w:tcW w:type="dxa" w:w="3120"/>
            <w:tcBorders>
              <w:top w:val="single" w:color="BFBFBF" w:sz="4"/>
              <w:left w:val="single" w:color="BFBFBF" w:sz="4"/>
              <w:bottom w:val="single" w:color="BFBFBF" w:sz="4"/>
              <w:right w:val="single" w:color="BFBFBF" w:sz="4"/>
            </w:tcBorders>
            <w:shd w:fill="1F4E79" w:val="clear"/>
            <w:tcMar>
              <w:top w:type="dxa" w:w="120"/>
              <w:left w:type="dxa" w:w="160"/>
              <w:bottom w:type="dxa" w:w="120"/>
              <w:right w:type="dxa" w:w="160"/>
            </w:tcMar>
          </w:tcPr>
          <w:p>
            <w:pPr>
              <w:jc w:val="left"/>
            </w:pPr>
            <w:r>
              <w:rPr>
                <w:b/>
                <w:bCs/>
                <w:color w:val="FFFFFF"/>
                <w:sz w:val="22"/>
                <w:szCs w:val="22"/>
              </w:rPr>
              <w:t xml:space="preserve">Revenue (USD)</w:t>
            </w:r>
          </w:p>
        </w:tc>
      </w:tr>
      <w:tr>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Conservative</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40 (charter only)</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$54,880</w:t>
            </w:r>
          </w:p>
        </w:tc>
      </w:tr>
      <w:tr>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Realistic</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55 (40 charter + 15 standard)</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jc w:val="left"/>
            </w:pPr>
            <w:r>
              <w:rPr>
                <w:sz w:val="22"/>
                <w:szCs w:val="22"/>
              </w:rPr>
              <w:t xml:space="preserve">$84,835</w:t>
            </w:r>
          </w:p>
        </w:tc>
      </w:tr>
      <w:tr>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Strong</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70 (40 charter + 30 standard)</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tcPr>
          <w:p>
            <w:pPr>
              <w:jc w:val="left"/>
            </w:pPr>
            <w:r>
              <w:rPr>
                <w:sz w:val="22"/>
                <w:szCs w:val="22"/>
              </w:rPr>
              <w:t xml:space="preserve">$114,790</w:t>
            </w:r>
          </w:p>
        </w:tc>
      </w:tr>
    </w:tbl>
    <w:p>
      <w:pPr>
        <w:spacing w:after="200"/>
      </w:pPr>
    </w:p>
    <w:p>
      <w:pPr>
        <w:spacing w:after="120" w:line="300"/>
        <w:jc w:val="left"/>
      </w:pPr>
      <w:r>
        <w:rPr>
          <w:sz w:val="22"/>
          <w:szCs w:val="22"/>
        </w:rPr>
        <w:t xml:space="preserve">These projections do not include add-on revenue, which can realistically add 15-25% on top of program fees, nor Directory revenue streams (which begin in Year 2).</w:t>
      </w:r>
    </w:p>
    <w:p>
      <w:r>
        <w:br w:type="page"/>
      </w:r>
    </w:p>
    <w:p>
      <w:pPr>
        <w:pStyle w:val="Heading1"/>
        <w:spacing w:after="200" w:before="360"/>
      </w:pPr>
      <w:r>
        <w:rPr>
          <w:b/>
          <w:bCs/>
          <w:color w:val="1F4E79"/>
          <w:sz w:val="36"/>
          <w:szCs w:val="36"/>
        </w:rPr>
        <w:t xml:space="preserve">31. Risk Management and Honest Constraints</w:t>
      </w:r>
    </w:p>
    <w:p>
      <w:pPr>
        <w:pStyle w:val="Heading2"/>
        <w:spacing w:after="160" w:before="280"/>
      </w:pPr>
      <w:r>
        <w:rPr>
          <w:b/>
          <w:bCs/>
          <w:color w:val="2E75B6"/>
          <w:sz w:val="28"/>
          <w:szCs w:val="28"/>
        </w:rPr>
        <w:t xml:space="preserve">Risk 1: Slow Charter Sales</w:t>
      </w:r>
    </w:p>
    <w:p>
      <w:pPr>
        <w:spacing w:after="120" w:line="300"/>
        <w:jc w:val="left"/>
      </w:pPr>
      <w:r>
        <w:rPr>
          <w:sz w:val="22"/>
          <w:szCs w:val="22"/>
        </w:rPr>
        <w:t xml:space="preserve">The most likely risk in months 1-3 is slow Founding Charter sales. The founder lacks an existing audience.</w:t>
      </w:r>
    </w:p>
    <w:p>
      <w:pPr>
        <w:spacing w:after="200"/>
      </w:pPr>
    </w:p>
    <w:p>
      <w:pPr>
        <w:spacing w:after="120" w:line="300"/>
        <w:jc w:val="left"/>
      </w:pPr>
      <w:r>
        <w:rPr>
          <w:sz w:val="22"/>
          <w:szCs w:val="22"/>
        </w:rPr>
        <w:t xml:space="preserve">Mitigation:</w:t>
      </w:r>
    </w:p>
    <w:p>
      <w:pPr>
        <w:pStyle w:val="ListParagraph"/>
        <w:numPr>
          <w:ilvl w:val="0"/>
          <w:numId w:val="2"/>
        </w:numPr>
        <w:spacing w:after="80" w:line="280"/>
      </w:pPr>
      <w:r>
        <w:rPr>
          <w:sz w:val="22"/>
          <w:szCs w:val="22"/>
        </w:rPr>
        <w:t xml:space="preserve">Lean execution: deliver Phase 1 first; build later phases as cohort progresses.</w:t>
      </w:r>
    </w:p>
    <w:p>
      <w:pPr>
        <w:pStyle w:val="ListParagraph"/>
        <w:numPr>
          <w:ilvl w:val="0"/>
          <w:numId w:val="2"/>
        </w:numPr>
        <w:spacing w:after="80" w:line="280"/>
      </w:pPr>
      <w:r>
        <w:rPr>
          <w:sz w:val="22"/>
          <w:szCs w:val="22"/>
        </w:rPr>
        <w:t xml:space="preserve">Five-tier structure means each tier needs only 10 members before the next opens.</w:t>
      </w:r>
    </w:p>
    <w:p>
      <w:pPr>
        <w:pStyle w:val="ListParagraph"/>
        <w:numPr>
          <w:ilvl w:val="0"/>
          <w:numId w:val="2"/>
        </w:numPr>
        <w:spacing w:after="80" w:line="280"/>
      </w:pPr>
      <w:r>
        <w:rPr>
          <w:sz w:val="22"/>
          <w:szCs w:val="22"/>
        </w:rPr>
        <w:t xml:space="preserve">Warm-network outreach as the primary channel for Tier 1.</w:t>
      </w:r>
    </w:p>
    <w:p>
      <w:pPr>
        <w:pStyle w:val="ListParagraph"/>
        <w:numPr>
          <w:ilvl w:val="0"/>
          <w:numId w:val="2"/>
        </w:numPr>
        <w:spacing w:after="80" w:line="280"/>
      </w:pPr>
      <w:r>
        <w:rPr>
          <w:sz w:val="22"/>
          <w:szCs w:val="22"/>
        </w:rPr>
        <w:t xml:space="preserve">If Tier 1 fills slowly, the founder considers focused content campaigns rather than discounting outside the tier structure.</w:t>
      </w:r>
    </w:p>
    <w:p>
      <w:pPr>
        <w:pStyle w:val="Heading2"/>
        <w:spacing w:after="160" w:before="280"/>
      </w:pPr>
      <w:r>
        <w:rPr>
          <w:b/>
          <w:bCs/>
          <w:color w:val="2E75B6"/>
          <w:sz w:val="28"/>
          <w:szCs w:val="28"/>
        </w:rPr>
        <w:t xml:space="preserve">Risk 2: Founder Bandwidth Through Member 30</w:t>
      </w:r>
    </w:p>
    <w:p>
      <w:pPr>
        <w:spacing w:after="120" w:line="300"/>
        <w:jc w:val="left"/>
      </w:pPr>
      <w:r>
        <w:rPr>
          <w:sz w:val="22"/>
          <w:szCs w:val="22"/>
        </w:rPr>
        <w:t xml:space="preserve">Founder coaching for members 1-30 means up to 30 simultaneously active participants at peak rolling enrollment.</w:t>
      </w:r>
    </w:p>
    <w:p>
      <w:pPr>
        <w:spacing w:after="200"/>
      </w:pPr>
    </w:p>
    <w:p>
      <w:pPr>
        <w:spacing w:after="120" w:line="300"/>
        <w:jc w:val="left"/>
      </w:pPr>
      <w:r>
        <w:rPr>
          <w:sz w:val="22"/>
          <w:szCs w:val="22"/>
        </w:rPr>
        <w:t xml:space="preserve">Mitigation:</w:t>
      </w:r>
    </w:p>
    <w:p>
      <w:pPr>
        <w:pStyle w:val="ListParagraph"/>
        <w:numPr>
          <w:ilvl w:val="0"/>
          <w:numId w:val="2"/>
        </w:numPr>
        <w:spacing w:after="80" w:line="280"/>
      </w:pPr>
      <w:r>
        <w:rPr>
          <w:sz w:val="22"/>
          <w:szCs w:val="22"/>
        </w:rPr>
        <w:t xml:space="preserve">Async-first delivery is designed for this constraint.</w:t>
      </w:r>
    </w:p>
    <w:p>
      <w:pPr>
        <w:pStyle w:val="ListParagraph"/>
        <w:numPr>
          <w:ilvl w:val="0"/>
          <w:numId w:val="2"/>
        </w:numPr>
        <w:spacing w:after="80" w:line="280"/>
      </w:pPr>
      <w:r>
        <w:rPr>
          <w:sz w:val="22"/>
          <w:szCs w:val="22"/>
        </w:rPr>
        <w:t xml:space="preserve">Fair-use ticket policy with explicit limits.</w:t>
      </w:r>
    </w:p>
    <w:p>
      <w:pPr>
        <w:pStyle w:val="ListParagraph"/>
        <w:numPr>
          <w:ilvl w:val="0"/>
          <w:numId w:val="2"/>
        </w:numPr>
        <w:spacing w:after="80" w:line="280"/>
      </w:pPr>
      <w:r>
        <w:rPr>
          <w:sz w:val="22"/>
          <w:szCs w:val="22"/>
        </w:rPr>
        <w:t xml:space="preserve">Peer pairing structure offloads early feedback to participants themselves.</w:t>
      </w:r>
    </w:p>
    <w:p>
      <w:pPr>
        <w:pStyle w:val="ListParagraph"/>
        <w:numPr>
          <w:ilvl w:val="0"/>
          <w:numId w:val="2"/>
        </w:numPr>
        <w:spacing w:after="80" w:line="280"/>
      </w:pPr>
      <w:r>
        <w:rPr>
          <w:sz w:val="22"/>
          <w:szCs w:val="22"/>
        </w:rPr>
        <w:t xml:space="preserve">Weekly broadcast Loom videos serve the whole community in one recording.</w:t>
      </w:r>
    </w:p>
    <w:p>
      <w:pPr>
        <w:pStyle w:val="ListParagraph"/>
        <w:numPr>
          <w:ilvl w:val="0"/>
          <w:numId w:val="2"/>
        </w:numPr>
        <w:spacing w:after="80" w:line="280"/>
      </w:pPr>
      <w:r>
        <w:rPr>
          <w:sz w:val="22"/>
          <w:szCs w:val="22"/>
        </w:rPr>
        <w:t xml:space="preserve">Founder estimates 8-10 hours per active participant per 12 weeks; with rolling enrollment spread across months, total founder time stays manageable.</w:t>
      </w:r>
    </w:p>
    <w:p>
      <w:pPr>
        <w:pStyle w:val="Heading2"/>
        <w:spacing w:after="160" w:before="280"/>
      </w:pPr>
      <w:r>
        <w:rPr>
          <w:b/>
          <w:bCs/>
          <w:color w:val="2E75B6"/>
          <w:sz w:val="28"/>
          <w:szCs w:val="28"/>
        </w:rPr>
        <w:t xml:space="preserve">Risk 3: Coach Team Readiness</w:t>
      </w:r>
    </w:p>
    <w:p>
      <w:pPr>
        <w:spacing w:after="120" w:line="300"/>
        <w:jc w:val="left"/>
      </w:pPr>
      <w:r>
        <w:rPr>
          <w:sz w:val="22"/>
          <w:szCs w:val="22"/>
        </w:rPr>
        <w:t xml:space="preserve">Building a trained coach team while simultaneously running cohorts is genuinely demanding.</w:t>
      </w:r>
    </w:p>
    <w:p>
      <w:pPr>
        <w:spacing w:after="200"/>
      </w:pPr>
    </w:p>
    <w:p>
      <w:pPr>
        <w:spacing w:after="120" w:line="300"/>
        <w:jc w:val="left"/>
      </w:pPr>
      <w:r>
        <w:rPr>
          <w:sz w:val="22"/>
          <w:szCs w:val="22"/>
        </w:rPr>
        <w:t xml:space="preserve">Mitigation:</w:t>
      </w:r>
    </w:p>
    <w:p>
      <w:pPr>
        <w:pStyle w:val="ListParagraph"/>
        <w:numPr>
          <w:ilvl w:val="0"/>
          <w:numId w:val="2"/>
        </w:numPr>
        <w:spacing w:after="80" w:line="280"/>
      </w:pPr>
      <w:r>
        <w:rPr>
          <w:sz w:val="22"/>
          <w:szCs w:val="22"/>
        </w:rPr>
        <w:t xml:space="preserve">Coach training is structured to begin with first Founding Charter graduates and continue progressively.</w:t>
      </w:r>
    </w:p>
    <w:p>
      <w:pPr>
        <w:pStyle w:val="ListParagraph"/>
        <w:numPr>
          <w:ilvl w:val="0"/>
          <w:numId w:val="2"/>
        </w:numPr>
        <w:spacing w:after="80" w:line="280"/>
      </w:pPr>
      <w:r>
        <w:rPr>
          <w:sz w:val="22"/>
          <w:szCs w:val="22"/>
        </w:rPr>
        <w:t xml:space="preserve">Public language uses "founder-led" and "TXP coach team" rather than committing to a specific cutoff number.</w:t>
      </w:r>
    </w:p>
    <w:p>
      <w:pPr>
        <w:pStyle w:val="ListParagraph"/>
        <w:numPr>
          <w:ilvl w:val="0"/>
          <w:numId w:val="2"/>
        </w:numPr>
        <w:spacing w:after="80" w:line="280"/>
      </w:pPr>
      <w:r>
        <w:rPr>
          <w:sz w:val="22"/>
          <w:szCs w:val="22"/>
        </w:rPr>
        <w:t xml:space="preserve">Internal target: at least one trained coach operational by start of Tier 4. If this target is not met, the founder continues leading coaching for additional members and Tier 4 enrollment proceeds at a managed pace.</w:t>
      </w:r>
    </w:p>
    <w:p>
      <w:pPr>
        <w:pStyle w:val="ListParagraph"/>
        <w:numPr>
          <w:ilvl w:val="0"/>
          <w:numId w:val="2"/>
        </w:numPr>
        <w:spacing w:after="80" w:line="280"/>
      </w:pPr>
      <w:r>
        <w:rPr>
          <w:sz w:val="22"/>
          <w:szCs w:val="22"/>
        </w:rPr>
        <w:t xml:space="preserve">Coach onboarding curriculum prepared in parallel with cohort delivery.</w:t>
      </w:r>
    </w:p>
    <w:p>
      <w:pPr>
        <w:pStyle w:val="Heading2"/>
        <w:spacing w:after="160" w:before="280"/>
      </w:pPr>
      <w:r>
        <w:rPr>
          <w:b/>
          <w:bCs/>
          <w:color w:val="2E75B6"/>
          <w:sz w:val="28"/>
          <w:szCs w:val="28"/>
        </w:rPr>
        <w:t xml:space="preserve">Risk 4: Drop-Off in the First Cohort</w:t>
      </w:r>
    </w:p>
    <w:p>
      <w:pPr>
        <w:spacing w:after="120" w:line="300"/>
        <w:jc w:val="left"/>
      </w:pPr>
      <w:r>
        <w:rPr>
          <w:sz w:val="22"/>
          <w:szCs w:val="22"/>
        </w:rPr>
        <w:t xml:space="preserve">Async programs face higher drop-off than live cohorts unless community and accountability are designed deliberately.</w:t>
      </w:r>
    </w:p>
    <w:p>
      <w:pPr>
        <w:spacing w:after="200"/>
      </w:pPr>
    </w:p>
    <w:p>
      <w:pPr>
        <w:spacing w:after="120" w:line="300"/>
        <w:jc w:val="left"/>
      </w:pPr>
      <w:r>
        <w:rPr>
          <w:sz w:val="22"/>
          <w:szCs w:val="22"/>
        </w:rPr>
        <w:t xml:space="preserve">Mitigation:</w:t>
      </w:r>
    </w:p>
    <w:p>
      <w:pPr>
        <w:pStyle w:val="ListParagraph"/>
        <w:numPr>
          <w:ilvl w:val="0"/>
          <w:numId w:val="2"/>
        </w:numPr>
        <w:spacing w:after="80" w:line="280"/>
      </w:pPr>
      <w:r>
        <w:rPr>
          <w:sz w:val="22"/>
          <w:szCs w:val="22"/>
        </w:rPr>
        <w:t xml:space="preserve">Forced peer pairing in Week 1 builds the first accountability bond.</w:t>
      </w:r>
    </w:p>
    <w:p>
      <w:pPr>
        <w:pStyle w:val="ListParagraph"/>
        <w:numPr>
          <w:ilvl w:val="0"/>
          <w:numId w:val="2"/>
        </w:numPr>
        <w:spacing w:after="80" w:line="280"/>
      </w:pPr>
      <w:r>
        <w:rPr>
          <w:sz w:val="22"/>
          <w:szCs w:val="22"/>
        </w:rPr>
        <w:t xml:space="preserve">Weekly unlocked modules and milestone deadlines create rhythm.</w:t>
      </w:r>
    </w:p>
    <w:p>
      <w:pPr>
        <w:pStyle w:val="ListParagraph"/>
        <w:numPr>
          <w:ilvl w:val="0"/>
          <w:numId w:val="2"/>
        </w:numPr>
        <w:spacing w:after="80" w:line="280"/>
      </w:pPr>
      <w:r>
        <w:rPr>
          <w:sz w:val="22"/>
          <w:szCs w:val="22"/>
        </w:rPr>
        <w:t xml:space="preserve">Coach engagement is the central engagement engine.</w:t>
      </w:r>
    </w:p>
    <w:p>
      <w:pPr>
        <w:pStyle w:val="ListParagraph"/>
        <w:numPr>
          <w:ilvl w:val="0"/>
          <w:numId w:val="2"/>
        </w:numPr>
        <w:spacing w:after="80" w:line="280"/>
      </w:pPr>
      <w:r>
        <w:rPr>
          <w:sz w:val="22"/>
          <w:szCs w:val="22"/>
        </w:rPr>
        <w:t xml:space="preserve">Module miss policy provides a clear path back without humiliation.</w:t>
      </w:r>
    </w:p>
    <w:p>
      <w:pPr>
        <w:pStyle w:val="Heading2"/>
        <w:spacing w:after="160" w:before="280"/>
      </w:pPr>
      <w:r>
        <w:rPr>
          <w:b/>
          <w:bCs/>
          <w:color w:val="2E75B6"/>
          <w:sz w:val="28"/>
          <w:szCs w:val="28"/>
        </w:rPr>
        <w:t xml:space="preserve">Risk 5: Dissertation Interference</w:t>
      </w:r>
    </w:p>
    <w:p>
      <w:pPr>
        <w:spacing w:after="120" w:line="300"/>
        <w:jc w:val="left"/>
      </w:pPr>
      <w:r>
        <w:rPr>
          <w:sz w:val="22"/>
          <w:szCs w:val="22"/>
        </w:rPr>
        <w:t xml:space="preserve">Running a business during doctoral work risks both pursuits.</w:t>
      </w:r>
    </w:p>
    <w:p>
      <w:pPr>
        <w:spacing w:after="200"/>
      </w:pPr>
    </w:p>
    <w:p>
      <w:pPr>
        <w:spacing w:after="120" w:line="300"/>
        <w:jc w:val="left"/>
      </w:pPr>
      <w:r>
        <w:rPr>
          <w:sz w:val="22"/>
          <w:szCs w:val="22"/>
        </w:rPr>
        <w:t xml:space="preserve">Mitigation:</w:t>
      </w:r>
    </w:p>
    <w:p>
      <w:pPr>
        <w:pStyle w:val="ListParagraph"/>
        <w:numPr>
          <w:ilvl w:val="0"/>
          <w:numId w:val="2"/>
        </w:numPr>
        <w:spacing w:after="80" w:line="280"/>
      </w:pPr>
      <w:r>
        <w:rPr>
          <w:sz w:val="22"/>
          <w:szCs w:val="22"/>
        </w:rPr>
        <w:t xml:space="preserve">Async-first delivery is compatible with dissertation rhythm.</w:t>
      </w:r>
    </w:p>
    <w:p>
      <w:pPr>
        <w:pStyle w:val="ListParagraph"/>
        <w:numPr>
          <w:ilvl w:val="0"/>
          <w:numId w:val="2"/>
        </w:numPr>
        <w:spacing w:after="80" w:line="280"/>
      </w:pPr>
      <w:r>
        <w:rPr>
          <w:sz w:val="22"/>
          <w:szCs w:val="22"/>
        </w:rPr>
        <w:t xml:space="preserve">Capacity capped explicitly during charter tiers.</w:t>
      </w:r>
    </w:p>
    <w:p>
      <w:pPr>
        <w:pStyle w:val="ListParagraph"/>
        <w:numPr>
          <w:ilvl w:val="0"/>
          <w:numId w:val="2"/>
        </w:numPr>
        <w:spacing w:after="80" w:line="280"/>
      </w:pPr>
      <w:r>
        <w:rPr>
          <w:sz w:val="22"/>
          <w:szCs w:val="22"/>
        </w:rPr>
        <w:t xml:space="preserve">Coordination with dissertation advisor on potential research-business alignment.</w:t>
      </w:r>
    </w:p>
    <w:p>
      <w:r>
        <w:br w:type="page"/>
      </w:r>
    </w:p>
    <w:p>
      <w:pPr>
        <w:pStyle w:val="Heading1"/>
        <w:spacing w:after="200" w:before="360"/>
      </w:pPr>
      <w:r>
        <w:rPr>
          <w:b/>
          <w:bCs/>
          <w:color w:val="1F4E79"/>
          <w:sz w:val="36"/>
          <w:szCs w:val="36"/>
        </w:rPr>
        <w:t xml:space="preserve">32. Final Definition and Strategic Decision</w:t>
      </w:r>
    </w:p>
    <w:p>
      <w:pPr>
        <w:pStyle w:val="Heading2"/>
        <w:spacing w:after="160" w:before="280"/>
      </w:pPr>
      <w:r>
        <w:rPr>
          <w:b/>
          <w:bCs/>
          <w:color w:val="2E75B6"/>
          <w:sz w:val="28"/>
          <w:szCs w:val="28"/>
        </w:rPr>
        <w:t xml:space="preserve">Final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EAF1F8" w:val="clear"/>
            <w:tcMar>
              <w:top w:type="dxa" w:w="200"/>
              <w:left w:type="dxa" w:w="280"/>
              <w:bottom w:type="dxa" w:w="200"/>
              <w:right w:type="dxa" w:w="280"/>
            </w:tcMar>
          </w:tcPr>
          <w:p>
            <w:pPr>
              <w:spacing w:after="100"/>
            </w:pPr>
            <w:r>
              <w:rPr>
                <w:b/>
                <w:bCs/>
                <w:color w:val="1F4E79"/>
                <w:sz w:val="24"/>
                <w:szCs w:val="24"/>
              </w:rPr>
              <w:t xml:space="preserve">TenXPros, defined</w:t>
            </w:r>
          </w:p>
          <w:p>
            <w:pPr>
              <w:spacing w:after="0"/>
            </w:pPr>
            <w:r>
              <w:rPr>
                <w:color w:val="262626"/>
                <w:sz w:val="22"/>
                <w:szCs w:val="22"/>
              </w:rPr>
              <w:t xml:space="preserve">TenXPros is an adaptive, async-first, coach-supported, expert-supervised AI certification program for serious domain professionals. Each participant brings a real problem from their work. A personal AI coach guides them through eleven modules across four phases — Frame, Design, Prove, Foresee — over 12 weeks. Together they produce a defensible Living AI Solution Dossier with a strategic foresight plan, and the participant becomes a Certified TenXPro if the work meets the standard. Every Certified TenXPro receives a featured profile in the public TenXPros Directory, creating real visibility and professional opportunity beyond the certification itself.</w:t>
            </w:r>
          </w:p>
        </w:tc>
      </w:tr>
    </w:tbl>
    <w:p>
      <w:pPr>
        <w:pStyle w:val="Heading2"/>
        <w:spacing w:after="160" w:before="280"/>
      </w:pPr>
      <w:r>
        <w:rPr>
          <w:b/>
          <w:bCs/>
          <w:color w:val="2E75B6"/>
          <w:sz w:val="28"/>
          <w:szCs w:val="28"/>
        </w:rPr>
        <w:t xml:space="preserve">Strategic Decisions Locked</w:t>
      </w:r>
    </w:p>
    <w:p>
      <w:pPr>
        <w:pStyle w:val="ListParagraph"/>
        <w:numPr>
          <w:ilvl w:val="0"/>
          <w:numId w:val="3"/>
        </w:numPr>
        <w:spacing w:after="80" w:line="280"/>
      </w:pPr>
      <w:r>
        <w:rPr>
          <w:sz w:val="22"/>
          <w:szCs w:val="22"/>
        </w:rPr>
        <w:t xml:space="preserve">Brand: TenXPros / TXP.</w:t>
      </w:r>
    </w:p>
    <w:p>
      <w:pPr>
        <w:pStyle w:val="ListParagraph"/>
        <w:numPr>
          <w:ilvl w:val="0"/>
          <w:numId w:val="3"/>
        </w:numPr>
        <w:spacing w:after="80" w:line="280"/>
      </w:pPr>
      <w:r>
        <w:rPr>
          <w:sz w:val="22"/>
          <w:szCs w:val="22"/>
        </w:rPr>
        <w:t xml:space="preserve">Tagline: Frame. Design. Prove. Foresee.</w:t>
      </w:r>
    </w:p>
    <w:p>
      <w:pPr>
        <w:pStyle w:val="ListParagraph"/>
        <w:numPr>
          <w:ilvl w:val="0"/>
          <w:numId w:val="3"/>
        </w:numPr>
        <w:spacing w:after="80" w:line="280"/>
      </w:pPr>
      <w:r>
        <w:rPr>
          <w:sz w:val="22"/>
          <w:szCs w:val="22"/>
        </w:rPr>
        <w:t xml:space="preserve">Framing: You bring the domain. We bring the AI method.</w:t>
      </w:r>
    </w:p>
    <w:p>
      <w:pPr>
        <w:pStyle w:val="ListParagraph"/>
        <w:numPr>
          <w:ilvl w:val="0"/>
          <w:numId w:val="3"/>
        </w:numPr>
        <w:spacing w:after="80" w:line="280"/>
      </w:pPr>
      <w:r>
        <w:rPr>
          <w:sz w:val="22"/>
          <w:szCs w:val="22"/>
        </w:rPr>
        <w:t xml:space="preserve">Format: Async-first, rolling enrollment, weekly unlocked modules.</w:t>
      </w:r>
    </w:p>
    <w:p>
      <w:pPr>
        <w:pStyle w:val="ListParagraph"/>
        <w:numPr>
          <w:ilvl w:val="0"/>
          <w:numId w:val="3"/>
        </w:numPr>
        <w:spacing w:after="80" w:line="280"/>
      </w:pPr>
      <w:r>
        <w:rPr>
          <w:sz w:val="22"/>
          <w:szCs w:val="22"/>
        </w:rPr>
        <w:t xml:space="preserve">Duration: 12 weeks per participant.</w:t>
      </w:r>
    </w:p>
    <w:p>
      <w:pPr>
        <w:pStyle w:val="ListParagraph"/>
        <w:numPr>
          <w:ilvl w:val="0"/>
          <w:numId w:val="3"/>
        </w:numPr>
        <w:spacing w:after="80" w:line="280"/>
      </w:pPr>
      <w:r>
        <w:rPr>
          <w:sz w:val="22"/>
          <w:szCs w:val="22"/>
        </w:rPr>
        <w:t xml:space="preserve">Structure: Four phases (Frame, Design, Prove, Foresee); eleven modules; one Capstone.</w:t>
      </w:r>
    </w:p>
    <w:p>
      <w:pPr>
        <w:pStyle w:val="ListParagraph"/>
        <w:numPr>
          <w:ilvl w:val="0"/>
          <w:numId w:val="3"/>
        </w:numPr>
        <w:spacing w:after="80" w:line="280"/>
      </w:pPr>
      <w:r>
        <w:rPr>
          <w:sz w:val="22"/>
          <w:szCs w:val="22"/>
        </w:rPr>
        <w:t xml:space="preserve">Ranks: Three (AI-Ready Professional; AI Problem Solver &amp; Solution Designer; Future-Ready AI Solution Designer).</w:t>
      </w:r>
    </w:p>
    <w:p>
      <w:pPr>
        <w:pStyle w:val="ListParagraph"/>
        <w:numPr>
          <w:ilvl w:val="0"/>
          <w:numId w:val="3"/>
        </w:numPr>
        <w:spacing w:after="80" w:line="280"/>
      </w:pPr>
      <w:r>
        <w:rPr>
          <w:sz w:val="22"/>
          <w:szCs w:val="22"/>
        </w:rPr>
        <w:t xml:space="preserve">Final credential: Certified TenXPro — AI-Ready Problem Solver, Responsible AI Solution Designer, and Strategic Foresight Practitioner.</w:t>
      </w:r>
    </w:p>
    <w:p>
      <w:pPr>
        <w:pStyle w:val="ListParagraph"/>
        <w:numPr>
          <w:ilvl w:val="0"/>
          <w:numId w:val="3"/>
        </w:numPr>
        <w:spacing w:after="80" w:line="280"/>
      </w:pPr>
      <w:r>
        <w:rPr>
          <w:sz w:val="22"/>
          <w:szCs w:val="22"/>
        </w:rPr>
        <w:t xml:space="preserve">Pricing: Five-tier charter structure ($997, $1,247, $1,497, $1,747, $1,997) with $500 increase per 100 new members after member 99.</w:t>
      </w:r>
    </w:p>
    <w:p>
      <w:pPr>
        <w:pStyle w:val="ListParagraph"/>
        <w:numPr>
          <w:ilvl w:val="0"/>
          <w:numId w:val="3"/>
        </w:numPr>
        <w:spacing w:after="80" w:line="280"/>
      </w:pPr>
      <w:r>
        <w:rPr>
          <w:sz w:val="22"/>
          <w:szCs w:val="22"/>
        </w:rPr>
        <w:t xml:space="preserve">Coaching: Founder-led for early charter members; founder-trained TenXPros coaches join progressively as the program grows. No public commitment to a specific cutoff number.</w:t>
      </w:r>
    </w:p>
    <w:p>
      <w:pPr>
        <w:pStyle w:val="ListParagraph"/>
        <w:numPr>
          <w:ilvl w:val="0"/>
          <w:numId w:val="3"/>
        </w:numPr>
        <w:spacing w:after="80" w:line="280"/>
      </w:pPr>
      <w:r>
        <w:rPr>
          <w:sz w:val="22"/>
          <w:szCs w:val="22"/>
        </w:rPr>
        <w:t xml:space="preserve">Coach Pipeline: Certified TenXPros may join Coach Training and earn 35% revenue share per coached participant.</w:t>
      </w:r>
    </w:p>
    <w:p>
      <w:pPr>
        <w:pStyle w:val="ListParagraph"/>
        <w:numPr>
          <w:ilvl w:val="0"/>
          <w:numId w:val="3"/>
        </w:numPr>
        <w:spacing w:after="80" w:line="280"/>
      </w:pPr>
      <w:r>
        <w:rPr>
          <w:sz w:val="22"/>
          <w:szCs w:val="22"/>
        </w:rPr>
        <w:t xml:space="preserve">Directory: Every Certified TenXPro receives a featured public profile. Directory launches as a functional product in Month 6.</w:t>
      </w:r>
    </w:p>
    <w:p>
      <w:pPr>
        <w:pStyle w:val="ListParagraph"/>
        <w:numPr>
          <w:ilvl w:val="0"/>
          <w:numId w:val="3"/>
        </w:numPr>
        <w:spacing w:after="80" w:line="280"/>
      </w:pPr>
      <w:r>
        <w:rPr>
          <w:sz w:val="22"/>
          <w:szCs w:val="22"/>
        </w:rPr>
        <w:t xml:space="preserve">Updates access: 18/15/12/9/6 months by tier; then TenXPro Radar at $99/month.</w:t>
      </w:r>
    </w:p>
    <w:p>
      <w:pPr>
        <w:pStyle w:val="ListParagraph"/>
        <w:numPr>
          <w:ilvl w:val="0"/>
          <w:numId w:val="3"/>
        </w:numPr>
        <w:spacing w:after="80" w:line="280"/>
      </w:pPr>
      <w:r>
        <w:rPr>
          <w:sz w:val="22"/>
          <w:szCs w:val="22"/>
        </w:rPr>
        <w:t xml:space="preserve">Loyalty discount: 25%/20%/15%/10% on future products, valid 3 years for Tiers 1-3 and 2 years for Tier 4.</w:t>
      </w:r>
    </w:p>
    <w:p>
      <w:pPr>
        <w:pStyle w:val="ListParagraph"/>
        <w:numPr>
          <w:ilvl w:val="0"/>
          <w:numId w:val="3"/>
        </w:numPr>
        <w:spacing w:after="80" w:line="280"/>
      </w:pPr>
      <w:r>
        <w:rPr>
          <w:sz w:val="22"/>
          <w:szCs w:val="22"/>
        </w:rPr>
        <w:t xml:space="preserve">Eight customization dimensions for adaptive personalization.</w:t>
      </w:r>
    </w:p>
    <w:p>
      <w:pPr>
        <w:pStyle w:val="ListParagraph"/>
        <w:numPr>
          <w:ilvl w:val="0"/>
          <w:numId w:val="3"/>
        </w:numPr>
        <w:spacing w:after="80" w:line="280"/>
      </w:pPr>
      <w:r>
        <w:rPr>
          <w:sz w:val="22"/>
          <w:szCs w:val="22"/>
        </w:rPr>
        <w:t xml:space="preserve">Dynamic domain adaptation: methodology is universal across domains; examples, cases, and patterns emerge from real participant work and build into a growing library.</w:t>
      </w:r>
    </w:p>
    <w:p>
      <w:pPr>
        <w:pStyle w:val="ListParagraph"/>
        <w:numPr>
          <w:ilvl w:val="0"/>
          <w:numId w:val="3"/>
        </w:numPr>
        <w:spacing w:after="80" w:line="280"/>
      </w:pPr>
      <w:r>
        <w:rPr>
          <w:sz w:val="22"/>
          <w:szCs w:val="22"/>
        </w:rPr>
        <w:t xml:space="preserve">Module miss policy: justified extension or 50% re-entry.</w:t>
      </w:r>
    </w:p>
    <w:p>
      <w:pPr>
        <w:pStyle w:val="ListParagraph"/>
        <w:numPr>
          <w:ilvl w:val="0"/>
          <w:numId w:val="3"/>
        </w:numPr>
        <w:spacing w:after="80" w:line="280"/>
      </w:pPr>
      <w:r>
        <w:rPr>
          <w:sz w:val="22"/>
          <w:szCs w:val="22"/>
        </w:rPr>
        <w:t xml:space="preserve">No live mandatory sessions. Async touchpoints via Loom and written feedback.</w:t>
      </w:r>
    </w:p>
    <w:p>
      <w:pPr>
        <w:pStyle w:val="ListParagraph"/>
        <w:numPr>
          <w:ilvl w:val="0"/>
          <w:numId w:val="3"/>
        </w:numPr>
        <w:spacing w:after="80" w:line="280"/>
      </w:pPr>
      <w:r>
        <w:rPr>
          <w:sz w:val="22"/>
          <w:szCs w:val="22"/>
        </w:rPr>
        <w:t xml:space="preserve">Selective admission. No scholarships during charter period. No discounts outside the published tier structure.</w:t>
      </w:r>
    </w:p>
    <w:p>
      <w:pPr>
        <w:pStyle w:val="Heading2"/>
        <w:spacing w:after="160" w:before="280"/>
      </w:pPr>
      <w:r>
        <w:rPr>
          <w:b/>
          <w:bCs/>
          <w:color w:val="2E75B6"/>
          <w:sz w:val="28"/>
          <w:szCs w:val="28"/>
        </w:rPr>
        <w:t xml:space="preserve">The Founder's Commitment</w:t>
      </w:r>
    </w:p>
    <w:p>
      <w:pPr>
        <w:spacing w:after="120" w:line="300"/>
        <w:jc w:val="left"/>
      </w:pPr>
      <w:r>
        <w:rPr>
          <w:sz w:val="22"/>
          <w:szCs w:val="22"/>
        </w:rPr>
        <w:t xml:space="preserve">With this document, the founder commits to:</w:t>
      </w:r>
    </w:p>
    <w:p>
      <w:pPr>
        <w:pStyle w:val="ListParagraph"/>
        <w:numPr>
          <w:ilvl w:val="0"/>
          <w:numId w:val="2"/>
        </w:numPr>
        <w:spacing w:after="80" w:line="280"/>
      </w:pPr>
      <w:r>
        <w:rPr>
          <w:sz w:val="22"/>
          <w:szCs w:val="22"/>
        </w:rPr>
        <w:t xml:space="preserve">Stopping further structural revision and beginning execution.</w:t>
      </w:r>
    </w:p>
    <w:p>
      <w:pPr>
        <w:pStyle w:val="ListParagraph"/>
        <w:numPr>
          <w:ilvl w:val="0"/>
          <w:numId w:val="2"/>
        </w:numPr>
        <w:spacing w:after="80" w:line="280"/>
      </w:pPr>
      <w:r>
        <w:rPr>
          <w:sz w:val="22"/>
          <w:szCs w:val="22"/>
        </w:rPr>
        <w:t xml:space="preserve">Launching with the architecture in this document.</w:t>
      </w:r>
    </w:p>
    <w:p>
      <w:pPr>
        <w:pStyle w:val="ListParagraph"/>
        <w:numPr>
          <w:ilvl w:val="0"/>
          <w:numId w:val="2"/>
        </w:numPr>
        <w:spacing w:after="80" w:line="280"/>
      </w:pPr>
      <w:r>
        <w:rPr>
          <w:sz w:val="22"/>
          <w:szCs w:val="22"/>
        </w:rPr>
        <w:t xml:space="preserve">Delivering Phase 1 materials before opening Tier 1.</w:t>
      </w:r>
    </w:p>
    <w:p>
      <w:pPr>
        <w:pStyle w:val="ListParagraph"/>
        <w:numPr>
          <w:ilvl w:val="0"/>
          <w:numId w:val="2"/>
        </w:numPr>
        <w:spacing w:after="80" w:line="280"/>
      </w:pPr>
      <w:r>
        <w:rPr>
          <w:sz w:val="22"/>
          <w:szCs w:val="22"/>
        </w:rPr>
        <w:t xml:space="preserve">Delivering subsequent phase materials in parallel with cohort progress.</w:t>
      </w:r>
    </w:p>
    <w:p>
      <w:pPr>
        <w:pStyle w:val="ListParagraph"/>
        <w:numPr>
          <w:ilvl w:val="0"/>
          <w:numId w:val="2"/>
        </w:numPr>
        <w:spacing w:after="80" w:line="280"/>
      </w:pPr>
      <w:r>
        <w:rPr>
          <w:sz w:val="22"/>
          <w:szCs w:val="22"/>
        </w:rPr>
        <w:t xml:space="preserve">Maintaining the partnership framing in every public communication.</w:t>
      </w:r>
    </w:p>
    <w:p>
      <w:pPr>
        <w:pStyle w:val="ListParagraph"/>
        <w:numPr>
          <w:ilvl w:val="0"/>
          <w:numId w:val="2"/>
        </w:numPr>
        <w:spacing w:after="80" w:line="280"/>
      </w:pPr>
      <w:r>
        <w:rPr>
          <w:sz w:val="22"/>
          <w:szCs w:val="22"/>
        </w:rPr>
        <w:t xml:space="preserve">Honoring tier transitions with the transition language discipline.</w:t>
      </w:r>
    </w:p>
    <w:p>
      <w:pPr>
        <w:pStyle w:val="ListParagraph"/>
        <w:numPr>
          <w:ilvl w:val="0"/>
          <w:numId w:val="2"/>
        </w:numPr>
        <w:spacing w:after="80" w:line="280"/>
      </w:pPr>
      <w:r>
        <w:rPr>
          <w:sz w:val="22"/>
          <w:szCs w:val="22"/>
        </w:rPr>
        <w:t xml:space="preserve">Protecting the credential's value by enforcing the certification standard.</w:t>
      </w:r>
    </w:p>
    <w:p>
      <w:pPr>
        <w:pStyle w:val="ListParagraph"/>
        <w:numPr>
          <w:ilvl w:val="0"/>
          <w:numId w:val="2"/>
        </w:numPr>
        <w:spacing w:after="80" w:line="280"/>
      </w:pPr>
      <w:r>
        <w:rPr>
          <w:sz w:val="22"/>
          <w:szCs w:val="22"/>
        </w:rPr>
        <w:t xml:space="preserve">Building the coach team and Directory during the founder-coached charter phase.</w:t>
      </w:r>
    </w:p>
    <w:p>
      <w:pPr>
        <w:pStyle w:val="ListParagraph"/>
        <w:numPr>
          <w:ilvl w:val="0"/>
          <w:numId w:val="2"/>
        </w:numPr>
        <w:spacing w:after="80" w:line="280"/>
      </w:pPr>
      <w:r>
        <w:rPr>
          <w:sz w:val="22"/>
          <w:szCs w:val="22"/>
        </w:rPr>
        <w:t xml:space="preserve">Treating dissertation work and program work as compatible, with explicit boundaries.</w:t>
      </w:r>
    </w:p>
    <w:p>
      <w:pPr>
        <w:pStyle w:val="Heading2"/>
        <w:spacing w:after="160" w:before="280"/>
      </w:pPr>
      <w:r>
        <w:rPr>
          <w:b/>
          <w:bCs/>
          <w:color w:val="2E75B6"/>
          <w:sz w:val="28"/>
          <w:szCs w:val="28"/>
        </w:rPr>
        <w:t xml:space="preserve">The Transformation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4"/>
              <w:bottom w:val="single" w:color="1F4E79" w:sz="4"/>
              <w:right w:val="single" w:color="1F4E79" w:sz="4"/>
            </w:tcBorders>
            <w:shd w:fill="FFF4E5" w:val="clear"/>
            <w:tcMar>
              <w:top w:type="dxa" w:w="200"/>
              <w:left w:type="dxa" w:w="280"/>
              <w:bottom w:type="dxa" w:w="200"/>
              <w:right w:type="dxa" w:w="280"/>
            </w:tcMar>
          </w:tcPr>
          <w:p>
            <w:pPr>
              <w:spacing w:after="100"/>
            </w:pPr>
            <w:r>
              <w:rPr>
                <w:b/>
                <w:bCs/>
                <w:color w:val="1F4E79"/>
                <w:sz w:val="24"/>
                <w:szCs w:val="24"/>
              </w:rPr>
              <w:t xml:space="preserve">The TenXPros transformation</w:t>
            </w:r>
          </w:p>
          <w:p>
            <w:pPr>
              <w:spacing w:after="0"/>
            </w:pPr>
            <w:r>
              <w:rPr>
                <w:color w:val="262626"/>
                <w:sz w:val="22"/>
                <w:szCs w:val="22"/>
              </w:rPr>
              <w:t xml:space="preserve">Pro → Apply → Diagnostic → Personalized Path → Coach Assignment → 11 Modules across 4 Phases → Living Dossier → Capstone → Certified TenXPro → TenXPros Directory Profile → Updates Access → TenXPro Radar</w:t>
            </w:r>
          </w:p>
        </w:tc>
      </w:tr>
    </w:tbl>
    <w:p>
      <w:pPr>
        <w:spacing w:after="200"/>
      </w:pPr>
    </w:p>
    <w:p>
      <w:pPr>
        <w:spacing w:after="120" w:line="300"/>
        <w:jc w:val="left"/>
      </w:pPr>
      <w:r>
        <w:rPr>
          <w:sz w:val="22"/>
          <w:szCs w:val="22"/>
        </w:rPr>
        <w:t xml:space="preserve">This is the path. This is the program. This is the work.</w:t>
      </w:r>
    </w:p>
    <w:p>
      <w:r>
        <w:br w:type="page"/>
      </w:r>
    </w:p>
    <w:p>
      <w:pPr>
        <w:spacing w:before="2400"/>
      </w:pPr>
    </w:p>
    <w:p>
      <w:pPr>
        <w:spacing w:after="200"/>
        <w:jc w:val="center"/>
      </w:pPr>
      <w:r>
        <w:rPr>
          <w:b/>
          <w:bCs/>
          <w:color w:val="1F4E79"/>
          <w:sz w:val="60"/>
          <w:szCs w:val="60"/>
        </w:rPr>
        <w:t xml:space="preserve">TenXPros</w:t>
      </w:r>
    </w:p>
    <w:p>
      <w:pPr>
        <w:spacing w:after="400"/>
        <w:jc w:val="center"/>
      </w:pPr>
      <w:r>
        <w:rPr>
          <w:i/>
          <w:iCs/>
          <w:color w:val="404040"/>
          <w:sz w:val="28"/>
          <w:szCs w:val="28"/>
        </w:rPr>
        <w:t xml:space="preserve">Frame. Design. Prove. Foresee.</w:t>
      </w:r>
    </w:p>
    <w:p>
      <w:pPr>
        <w:spacing w:after="200"/>
        <w:jc w:val="center"/>
      </w:pPr>
      <w:r>
        <w:rPr>
          <w:color w:val="808080"/>
          <w:sz w:val="22"/>
          <w:szCs w:val="22"/>
        </w:rPr>
        <w:t xml:space="preserve">End of Strategy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TenXPros — Final Strategy Document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TenXPros — Final Integrated Strategy Document</dc:title>
  <dc:creator>TenXPros Strategy</dc:creator>
  <dc:description>The final, locked strategy and operations document for TenXPros.</dc:description>
  <cp:lastModifiedBy>Un-named</cp:lastModifiedBy>
  <cp:revision>1</cp:revision>
  <dcterms:created xsi:type="dcterms:W3CDTF">2026-05-15T01:31:24.689Z</dcterms:created>
  <dcterms:modified xsi:type="dcterms:W3CDTF">2026-05-15T01:31:24.703Z</dcterms:modified>
</cp:coreProperties>
</file>

<file path=docProps/custom.xml><?xml version="1.0" encoding="utf-8"?>
<Properties xmlns="http://schemas.openxmlformats.org/officeDocument/2006/custom-properties" xmlns:vt="http://schemas.openxmlformats.org/officeDocument/2006/docPropsVTypes"/>
</file>