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A218" w14:textId="131A9652"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Medicare Inpatient Cost Analysis: Key Findings (2015–2023)</w:t>
      </w:r>
    </w:p>
    <w:p w14:paraId="04F73C28" w14:textId="1C57E940" w:rsidR="007156A2" w:rsidRPr="00C64B78" w:rsidRDefault="000E4A1C" w:rsidP="000E4A1C">
      <w:pPr>
        <w:rPr>
          <w:rFonts w:ascii="Times New Roman" w:hAnsi="Times New Roman" w:cs="Times New Roman"/>
        </w:rPr>
      </w:pPr>
      <w:r w:rsidRPr="00C64B78">
        <w:rPr>
          <w:rFonts w:ascii="Times New Roman" w:hAnsi="Times New Roman" w:cs="Times New Roman"/>
        </w:rPr>
        <w:t>Mehrnaz Abedian</w:t>
      </w:r>
      <w:r w:rsidR="007156A2" w:rsidRPr="007156A2">
        <w:rPr>
          <w:rFonts w:ascii="Times New Roman" w:hAnsi="Times New Roman" w:cs="Times New Roman"/>
        </w:rPr>
        <w:br/>
        <w:t>MS in Health Informatics</w:t>
      </w:r>
      <w:r w:rsidR="007156A2" w:rsidRPr="007156A2">
        <w:rPr>
          <w:rFonts w:ascii="Times New Roman" w:hAnsi="Times New Roman" w:cs="Times New Roman"/>
        </w:rPr>
        <w:br/>
      </w:r>
      <w:r w:rsidR="00000000">
        <w:rPr>
          <w:rFonts w:ascii="Times New Roman" w:hAnsi="Times New Roman" w:cs="Times New Roman"/>
        </w:rPr>
        <w:pict w14:anchorId="71AD2B87">
          <v:rect id="_x0000_i1025" style="width:0;height:1.5pt" o:hralign="center" o:hrstd="t" o:hr="t" fillcolor="#a0a0a0" stroked="f"/>
        </w:pict>
      </w:r>
      <w:r w:rsidRPr="00C64B78">
        <w:rPr>
          <w:rFonts w:ascii="Times New Roman" w:hAnsi="Times New Roman" w:cs="Times New Roman"/>
          <w:b/>
          <w:bCs/>
        </w:rPr>
        <w:t>1.</w:t>
      </w:r>
      <w:r w:rsidRPr="00C64B78">
        <w:rPr>
          <w:rFonts w:ascii="Times New Roman" w:hAnsi="Times New Roman" w:cs="Times New Roman"/>
        </w:rPr>
        <w:t xml:space="preserve"> </w:t>
      </w:r>
      <w:r w:rsidR="007156A2" w:rsidRPr="00C64B78">
        <w:rPr>
          <w:rFonts w:ascii="Times New Roman" w:hAnsi="Times New Roman" w:cs="Times New Roman"/>
          <w:b/>
          <w:bCs/>
        </w:rPr>
        <w:t>Top Diagnosis-Related Groups (DRGs) by Total Medicare Payment</w:t>
      </w:r>
    </w:p>
    <w:p w14:paraId="1BCB7265" w14:textId="77777777" w:rsidR="007156A2" w:rsidRPr="00C64B78" w:rsidRDefault="007156A2" w:rsidP="007156A2">
      <w:pPr>
        <w:rPr>
          <w:rFonts w:ascii="Times New Roman" w:hAnsi="Times New Roman" w:cs="Times New Roman"/>
        </w:rPr>
      </w:pPr>
      <w:r w:rsidRPr="007156A2">
        <w:rPr>
          <w:rFonts w:ascii="Times New Roman" w:hAnsi="Times New Roman" w:cs="Times New Roman"/>
        </w:rPr>
        <w:t>An analysis of inpatient Medicare claims data (2015–2023) revealed that a small number of DRGs contributed disproportionately to overall spending. The following DRGs represent high-complexity cases that often require extended care and intensive treatment:</w:t>
      </w:r>
    </w:p>
    <w:tbl>
      <w:tblPr>
        <w:tblStyle w:val="ListTable4-Accent1"/>
        <w:tblW w:w="9423" w:type="dxa"/>
        <w:tblLook w:val="04A0" w:firstRow="1" w:lastRow="0" w:firstColumn="1" w:lastColumn="0" w:noHBand="0" w:noVBand="1"/>
      </w:tblPr>
      <w:tblGrid>
        <w:gridCol w:w="1355"/>
        <w:gridCol w:w="5352"/>
        <w:gridCol w:w="2716"/>
      </w:tblGrid>
      <w:tr w:rsidR="000B3BAF" w:rsidRPr="00C64B78" w14:paraId="4475AD0E" w14:textId="77777777" w:rsidTr="000B3BAF">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355" w:type="dxa"/>
          </w:tcPr>
          <w:p w14:paraId="506EBFE9" w14:textId="77777777" w:rsidR="007156A2" w:rsidRPr="00C64B78" w:rsidRDefault="007156A2" w:rsidP="00EF2A18">
            <w:pPr>
              <w:rPr>
                <w:rFonts w:ascii="Times New Roman" w:hAnsi="Times New Roman" w:cs="Times New Roman"/>
              </w:rPr>
            </w:pPr>
            <w:r w:rsidRPr="007156A2">
              <w:rPr>
                <w:rFonts w:ascii="Times New Roman" w:hAnsi="Times New Roman" w:cs="Times New Roman"/>
              </w:rPr>
              <w:t>DRG Code</w:t>
            </w:r>
          </w:p>
        </w:tc>
        <w:tc>
          <w:tcPr>
            <w:tcW w:w="5352" w:type="dxa"/>
          </w:tcPr>
          <w:p w14:paraId="43C51B45" w14:textId="77777777" w:rsidR="007156A2" w:rsidRPr="00C64B78" w:rsidRDefault="007156A2" w:rsidP="00EF2A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Description</w:t>
            </w:r>
          </w:p>
        </w:tc>
        <w:tc>
          <w:tcPr>
            <w:tcW w:w="2716" w:type="dxa"/>
          </w:tcPr>
          <w:p w14:paraId="7BB406CC" w14:textId="77777777" w:rsidR="007156A2" w:rsidRPr="00C64B78" w:rsidRDefault="007156A2" w:rsidP="00EF2A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Approx. Total Payment</w:t>
            </w:r>
          </w:p>
        </w:tc>
      </w:tr>
      <w:tr w:rsidR="000B3BAF" w:rsidRPr="00C64B78" w14:paraId="75FCAA53" w14:textId="77777777" w:rsidTr="000B3BAF">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355" w:type="dxa"/>
          </w:tcPr>
          <w:p w14:paraId="717CD01E" w14:textId="77777777" w:rsidR="007156A2" w:rsidRPr="00C64B78" w:rsidRDefault="007156A2" w:rsidP="00EF2A18">
            <w:pPr>
              <w:rPr>
                <w:rFonts w:ascii="Times New Roman" w:hAnsi="Times New Roman" w:cs="Times New Roman"/>
              </w:rPr>
            </w:pPr>
            <w:r w:rsidRPr="00C64B78">
              <w:rPr>
                <w:rFonts w:ascii="Times New Roman" w:hAnsi="Times New Roman" w:cs="Times New Roman"/>
              </w:rPr>
              <w:t>951</w:t>
            </w:r>
          </w:p>
        </w:tc>
        <w:tc>
          <w:tcPr>
            <w:tcW w:w="5352" w:type="dxa"/>
          </w:tcPr>
          <w:p w14:paraId="5C490D87" w14:textId="77777777" w:rsidR="007156A2" w:rsidRPr="00C64B78" w:rsidRDefault="007156A2" w:rsidP="00EF2A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Extensive O.R. Procedure, Unrelated to Principal Diagnosis</w:t>
            </w:r>
          </w:p>
        </w:tc>
        <w:tc>
          <w:tcPr>
            <w:tcW w:w="2716" w:type="dxa"/>
          </w:tcPr>
          <w:p w14:paraId="7998CCFB" w14:textId="77777777" w:rsidR="007156A2" w:rsidRPr="00C64B78" w:rsidRDefault="007156A2" w:rsidP="00EF2A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$269M</w:t>
            </w:r>
          </w:p>
        </w:tc>
      </w:tr>
      <w:tr w:rsidR="007156A2" w:rsidRPr="00C64B78" w14:paraId="08B74E86" w14:textId="77777777" w:rsidTr="000B3BAF">
        <w:trPr>
          <w:trHeight w:val="418"/>
        </w:trPr>
        <w:tc>
          <w:tcPr>
            <w:cnfStyle w:val="001000000000" w:firstRow="0" w:lastRow="0" w:firstColumn="1" w:lastColumn="0" w:oddVBand="0" w:evenVBand="0" w:oddHBand="0" w:evenHBand="0" w:firstRowFirstColumn="0" w:firstRowLastColumn="0" w:lastRowFirstColumn="0" w:lastRowLastColumn="0"/>
            <w:tcW w:w="1355" w:type="dxa"/>
          </w:tcPr>
          <w:p w14:paraId="791F16C7" w14:textId="77777777" w:rsidR="007156A2" w:rsidRPr="00C64B78" w:rsidRDefault="007156A2" w:rsidP="00EF2A18">
            <w:pPr>
              <w:rPr>
                <w:rFonts w:ascii="Times New Roman" w:hAnsi="Times New Roman" w:cs="Times New Roman"/>
              </w:rPr>
            </w:pPr>
            <w:r w:rsidRPr="00C64B78">
              <w:rPr>
                <w:rFonts w:ascii="Times New Roman" w:hAnsi="Times New Roman" w:cs="Times New Roman"/>
              </w:rPr>
              <w:t>181</w:t>
            </w:r>
          </w:p>
        </w:tc>
        <w:tc>
          <w:tcPr>
            <w:tcW w:w="5352" w:type="dxa"/>
          </w:tcPr>
          <w:p w14:paraId="38B9CE66" w14:textId="77777777" w:rsidR="007156A2" w:rsidRPr="00C64B78" w:rsidRDefault="007156A2" w:rsidP="00EF2A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Respiratory Neoplasms</w:t>
            </w:r>
          </w:p>
        </w:tc>
        <w:tc>
          <w:tcPr>
            <w:tcW w:w="2716" w:type="dxa"/>
          </w:tcPr>
          <w:p w14:paraId="4B2FED81" w14:textId="77777777" w:rsidR="007156A2" w:rsidRPr="00C64B78" w:rsidRDefault="007156A2" w:rsidP="00EF2A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$150M+</w:t>
            </w:r>
          </w:p>
        </w:tc>
      </w:tr>
      <w:tr w:rsidR="000B3BAF" w:rsidRPr="00C64B78" w14:paraId="077BD33C" w14:textId="77777777" w:rsidTr="000B3BA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355" w:type="dxa"/>
          </w:tcPr>
          <w:p w14:paraId="7B4C2A4A" w14:textId="77777777" w:rsidR="007156A2" w:rsidRPr="00C64B78" w:rsidRDefault="007156A2" w:rsidP="00EF2A18">
            <w:pPr>
              <w:rPr>
                <w:rFonts w:ascii="Times New Roman" w:hAnsi="Times New Roman" w:cs="Times New Roman"/>
              </w:rPr>
            </w:pPr>
            <w:r w:rsidRPr="00C64B78">
              <w:rPr>
                <w:rFonts w:ascii="Times New Roman" w:hAnsi="Times New Roman" w:cs="Times New Roman"/>
              </w:rPr>
              <w:t>180</w:t>
            </w:r>
          </w:p>
        </w:tc>
        <w:tc>
          <w:tcPr>
            <w:tcW w:w="5352" w:type="dxa"/>
          </w:tcPr>
          <w:p w14:paraId="33FF6141" w14:textId="77777777" w:rsidR="007156A2" w:rsidRPr="00C64B78" w:rsidRDefault="007156A2" w:rsidP="00EF2A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Respiratory Infections &amp; Inflammations</w:t>
            </w:r>
          </w:p>
        </w:tc>
        <w:tc>
          <w:tcPr>
            <w:tcW w:w="2716" w:type="dxa"/>
          </w:tcPr>
          <w:p w14:paraId="6742C491" w14:textId="77777777" w:rsidR="007156A2" w:rsidRPr="00C64B78" w:rsidRDefault="007156A2" w:rsidP="00EF2A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$140M+</w:t>
            </w:r>
          </w:p>
        </w:tc>
      </w:tr>
      <w:tr w:rsidR="007156A2" w:rsidRPr="00C64B78" w14:paraId="70686C3A" w14:textId="77777777" w:rsidTr="00C64B78">
        <w:trPr>
          <w:trHeight w:val="394"/>
        </w:trPr>
        <w:tc>
          <w:tcPr>
            <w:cnfStyle w:val="001000000000" w:firstRow="0" w:lastRow="0" w:firstColumn="1" w:lastColumn="0" w:oddVBand="0" w:evenVBand="0" w:oddHBand="0" w:evenHBand="0" w:firstRowFirstColumn="0" w:firstRowLastColumn="0" w:lastRowFirstColumn="0" w:lastRowLastColumn="0"/>
            <w:tcW w:w="1355" w:type="dxa"/>
            <w:tcBorders>
              <w:bottom w:val="nil"/>
            </w:tcBorders>
          </w:tcPr>
          <w:p w14:paraId="34634F22" w14:textId="77777777" w:rsidR="007156A2" w:rsidRPr="00C64B78" w:rsidRDefault="007156A2" w:rsidP="00EF2A18">
            <w:pPr>
              <w:rPr>
                <w:rFonts w:ascii="Times New Roman" w:hAnsi="Times New Roman" w:cs="Times New Roman"/>
              </w:rPr>
            </w:pPr>
            <w:r w:rsidRPr="00C64B78">
              <w:rPr>
                <w:rFonts w:ascii="Times New Roman" w:hAnsi="Times New Roman" w:cs="Times New Roman"/>
              </w:rPr>
              <w:t>314</w:t>
            </w:r>
          </w:p>
        </w:tc>
        <w:tc>
          <w:tcPr>
            <w:tcW w:w="5352" w:type="dxa"/>
            <w:tcBorders>
              <w:bottom w:val="nil"/>
            </w:tcBorders>
          </w:tcPr>
          <w:p w14:paraId="60DF96E1" w14:textId="77777777" w:rsidR="007156A2" w:rsidRPr="00C64B78" w:rsidRDefault="007156A2" w:rsidP="00EF2A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Other Circulatory Diagnoses</w:t>
            </w:r>
          </w:p>
        </w:tc>
        <w:tc>
          <w:tcPr>
            <w:tcW w:w="2716" w:type="dxa"/>
            <w:tcBorders>
              <w:bottom w:val="nil"/>
            </w:tcBorders>
          </w:tcPr>
          <w:p w14:paraId="7CAC132C" w14:textId="77777777" w:rsidR="007156A2" w:rsidRPr="00C64B78" w:rsidRDefault="007156A2" w:rsidP="00EF2A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$120M+</w:t>
            </w:r>
          </w:p>
        </w:tc>
      </w:tr>
    </w:tbl>
    <w:p w14:paraId="5B492B60" w14:textId="77777777" w:rsidR="00C64B78" w:rsidRPr="00C64B78" w:rsidRDefault="00C64B78" w:rsidP="007156A2">
      <w:pPr>
        <w:rPr>
          <w:rFonts w:ascii="Times New Roman" w:hAnsi="Times New Roman" w:cs="Times New Roman"/>
          <w:b/>
          <w:bCs/>
        </w:rPr>
      </w:pPr>
    </w:p>
    <w:p w14:paraId="3860B9AA" w14:textId="28EE5BEC" w:rsidR="007156A2" w:rsidRPr="007156A2" w:rsidRDefault="007156A2" w:rsidP="007156A2">
      <w:pPr>
        <w:rPr>
          <w:rFonts w:ascii="Times New Roman" w:hAnsi="Times New Roman" w:cs="Times New Roman"/>
        </w:rPr>
      </w:pPr>
      <w:r w:rsidRPr="007156A2">
        <w:rPr>
          <w:rFonts w:ascii="Times New Roman" w:hAnsi="Times New Roman" w:cs="Times New Roman"/>
          <w:b/>
          <w:bCs/>
        </w:rPr>
        <w:t>Interpretation:</w:t>
      </w:r>
      <w:r w:rsidRPr="007156A2">
        <w:rPr>
          <w:rFonts w:ascii="Times New Roman" w:hAnsi="Times New Roman" w:cs="Times New Roman"/>
        </w:rPr>
        <w:t xml:space="preserve"> These DRGs are associated with severe clinical conditions, such as cancer, complex surgical cases, or cardiovascular complications. Their high cost reflects the need for intensive interventions and long inpatient stays.</w:t>
      </w:r>
    </w:p>
    <w:p w14:paraId="71BF92C9"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1B6BDA2C">
          <v:rect id="_x0000_i1026" style="width:0;height:1.5pt" o:hralign="center" o:hrstd="t" o:hr="t" fillcolor="#a0a0a0" stroked="f"/>
        </w:pict>
      </w:r>
    </w:p>
    <w:p w14:paraId="5D6F15AA" w14:textId="52E0D296"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2. DRGs with the Highest Average Payment per Claim</w:t>
      </w:r>
    </w:p>
    <w:p w14:paraId="58689493" w14:textId="5E0DE571" w:rsidR="000B3BAF" w:rsidRPr="007156A2" w:rsidRDefault="007156A2" w:rsidP="007156A2">
      <w:pPr>
        <w:rPr>
          <w:rFonts w:ascii="Times New Roman" w:hAnsi="Times New Roman" w:cs="Times New Roman"/>
        </w:rPr>
      </w:pPr>
      <w:r w:rsidRPr="007156A2">
        <w:rPr>
          <w:rFonts w:ascii="Times New Roman" w:hAnsi="Times New Roman" w:cs="Times New Roman"/>
        </w:rPr>
        <w:t>When limited to DRGs with at least 50 claims (to ensure statistical reliability), the following had the highest average payments (&gt;$130K per claim):</w:t>
      </w:r>
    </w:p>
    <w:p w14:paraId="344DC9E8" w14:textId="77777777" w:rsidR="007156A2" w:rsidRPr="007156A2" w:rsidRDefault="007156A2" w:rsidP="007156A2">
      <w:pPr>
        <w:numPr>
          <w:ilvl w:val="0"/>
          <w:numId w:val="1"/>
        </w:numPr>
        <w:rPr>
          <w:rFonts w:ascii="Times New Roman" w:hAnsi="Times New Roman" w:cs="Times New Roman"/>
        </w:rPr>
      </w:pPr>
      <w:r w:rsidRPr="007156A2">
        <w:rPr>
          <w:rFonts w:ascii="Times New Roman" w:hAnsi="Times New Roman" w:cs="Times New Roman"/>
        </w:rPr>
        <w:t>DRG 180 – Respiratory Infections and Inflammations</w:t>
      </w:r>
    </w:p>
    <w:p w14:paraId="2747A093" w14:textId="77777777" w:rsidR="007156A2" w:rsidRPr="007156A2" w:rsidRDefault="007156A2" w:rsidP="007156A2">
      <w:pPr>
        <w:numPr>
          <w:ilvl w:val="0"/>
          <w:numId w:val="1"/>
        </w:numPr>
        <w:rPr>
          <w:rFonts w:ascii="Times New Roman" w:hAnsi="Times New Roman" w:cs="Times New Roman"/>
        </w:rPr>
      </w:pPr>
      <w:r w:rsidRPr="007156A2">
        <w:rPr>
          <w:rFonts w:ascii="Times New Roman" w:hAnsi="Times New Roman" w:cs="Times New Roman"/>
        </w:rPr>
        <w:t>DRG 181 – Respiratory Neoplasms</w:t>
      </w:r>
    </w:p>
    <w:p w14:paraId="01E7F256" w14:textId="77777777" w:rsidR="007156A2" w:rsidRPr="007156A2" w:rsidRDefault="007156A2" w:rsidP="007156A2">
      <w:pPr>
        <w:numPr>
          <w:ilvl w:val="0"/>
          <w:numId w:val="1"/>
        </w:numPr>
        <w:rPr>
          <w:rFonts w:ascii="Times New Roman" w:hAnsi="Times New Roman" w:cs="Times New Roman"/>
        </w:rPr>
      </w:pPr>
      <w:r w:rsidRPr="007156A2">
        <w:rPr>
          <w:rFonts w:ascii="Times New Roman" w:hAnsi="Times New Roman" w:cs="Times New Roman"/>
        </w:rPr>
        <w:t>DRG 951 – Extensive O.R. Procedure, Unrelated</w:t>
      </w:r>
    </w:p>
    <w:p w14:paraId="3A4872EF" w14:textId="77777777" w:rsidR="007156A2" w:rsidRPr="007156A2" w:rsidRDefault="007156A2" w:rsidP="007156A2">
      <w:pPr>
        <w:rPr>
          <w:rFonts w:ascii="Times New Roman" w:hAnsi="Times New Roman" w:cs="Times New Roman"/>
        </w:rPr>
      </w:pPr>
      <w:r w:rsidRPr="007156A2">
        <w:rPr>
          <w:rFonts w:ascii="Times New Roman" w:hAnsi="Times New Roman" w:cs="Times New Roman"/>
          <w:b/>
          <w:bCs/>
        </w:rPr>
        <w:t>Possible Drivers of High Cost:</w:t>
      </w:r>
    </w:p>
    <w:p w14:paraId="086DFC51" w14:textId="77777777" w:rsidR="007156A2" w:rsidRPr="007156A2" w:rsidRDefault="007156A2" w:rsidP="007156A2">
      <w:pPr>
        <w:numPr>
          <w:ilvl w:val="0"/>
          <w:numId w:val="2"/>
        </w:numPr>
        <w:rPr>
          <w:rFonts w:ascii="Times New Roman" w:hAnsi="Times New Roman" w:cs="Times New Roman"/>
        </w:rPr>
      </w:pPr>
      <w:r w:rsidRPr="007156A2">
        <w:rPr>
          <w:rFonts w:ascii="Times New Roman" w:hAnsi="Times New Roman" w:cs="Times New Roman"/>
        </w:rPr>
        <w:t>Complex treatment protocols (e.g., surgery, chemotherapy, ventilation)</w:t>
      </w:r>
    </w:p>
    <w:p w14:paraId="7E757076" w14:textId="77777777" w:rsidR="007156A2" w:rsidRPr="007156A2" w:rsidRDefault="007156A2" w:rsidP="007156A2">
      <w:pPr>
        <w:numPr>
          <w:ilvl w:val="0"/>
          <w:numId w:val="2"/>
        </w:numPr>
        <w:rPr>
          <w:rFonts w:ascii="Times New Roman" w:hAnsi="Times New Roman" w:cs="Times New Roman"/>
        </w:rPr>
      </w:pPr>
      <w:r w:rsidRPr="007156A2">
        <w:rPr>
          <w:rFonts w:ascii="Times New Roman" w:hAnsi="Times New Roman" w:cs="Times New Roman"/>
        </w:rPr>
        <w:t>Longer hospitalization periods</w:t>
      </w:r>
    </w:p>
    <w:p w14:paraId="7A68522E" w14:textId="77777777" w:rsidR="007156A2" w:rsidRPr="007156A2" w:rsidRDefault="007156A2" w:rsidP="007156A2">
      <w:pPr>
        <w:numPr>
          <w:ilvl w:val="0"/>
          <w:numId w:val="2"/>
        </w:numPr>
        <w:rPr>
          <w:rFonts w:ascii="Times New Roman" w:hAnsi="Times New Roman" w:cs="Times New Roman"/>
        </w:rPr>
      </w:pPr>
      <w:r w:rsidRPr="007156A2">
        <w:rPr>
          <w:rFonts w:ascii="Times New Roman" w:hAnsi="Times New Roman" w:cs="Times New Roman"/>
        </w:rPr>
        <w:t>Higher resource utilization per patient</w:t>
      </w:r>
    </w:p>
    <w:p w14:paraId="0F259D88"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139D94D7">
          <v:rect id="_x0000_i1027" style="width:0;height:1.5pt" o:hralign="center" o:hrstd="t" o:hr="t" fillcolor="#a0a0a0" stroked="f"/>
        </w:pict>
      </w:r>
    </w:p>
    <w:p w14:paraId="311936C2" w14:textId="6F974453" w:rsidR="007156A2" w:rsidRPr="007156A2" w:rsidRDefault="007156A2" w:rsidP="007156A2">
      <w:pPr>
        <w:rPr>
          <w:rFonts w:ascii="Times New Roman" w:hAnsi="Times New Roman" w:cs="Times New Roman"/>
          <w:b/>
          <w:bCs/>
        </w:rPr>
      </w:pPr>
      <w:r w:rsidRPr="007156A2">
        <w:rPr>
          <w:rFonts w:ascii="Times New Roman" w:hAnsi="Times New Roman" w:cs="Times New Roman"/>
          <w:b/>
          <w:bCs/>
        </w:rPr>
        <w:lastRenderedPageBreak/>
        <w:t>3. Payment Range Analysis</w:t>
      </w:r>
    </w:p>
    <w:p w14:paraId="2F568DD7" w14:textId="77777777" w:rsidR="007156A2" w:rsidRPr="007156A2" w:rsidRDefault="007156A2" w:rsidP="007156A2">
      <w:pPr>
        <w:rPr>
          <w:rFonts w:ascii="Times New Roman" w:hAnsi="Times New Roman" w:cs="Times New Roman"/>
        </w:rPr>
      </w:pPr>
      <w:r w:rsidRPr="007156A2">
        <w:rPr>
          <w:rFonts w:ascii="Times New Roman" w:hAnsi="Times New Roman" w:cs="Times New Roman"/>
        </w:rPr>
        <w:t>Several DRGs exhibited broad variability in payment amounts, suggesting diverse clinical presentations and treatment strategies.</w:t>
      </w:r>
    </w:p>
    <w:tbl>
      <w:tblPr>
        <w:tblStyle w:val="ListTable4-Accent1"/>
        <w:tblW w:w="0" w:type="auto"/>
        <w:tblLook w:val="04A0" w:firstRow="1" w:lastRow="0" w:firstColumn="1" w:lastColumn="0" w:noHBand="0" w:noVBand="1"/>
      </w:tblPr>
      <w:tblGrid>
        <w:gridCol w:w="750"/>
        <w:gridCol w:w="1610"/>
        <w:gridCol w:w="1649"/>
      </w:tblGrid>
      <w:tr w:rsidR="007156A2" w:rsidRPr="007156A2" w14:paraId="59C95C3E" w14:textId="77777777" w:rsidTr="000B3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C3105"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DRG</w:t>
            </w:r>
          </w:p>
        </w:tc>
        <w:tc>
          <w:tcPr>
            <w:tcW w:w="0" w:type="auto"/>
            <w:hideMark/>
          </w:tcPr>
          <w:p w14:paraId="6B416455"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Min Payment</w:t>
            </w:r>
          </w:p>
        </w:tc>
        <w:tc>
          <w:tcPr>
            <w:tcW w:w="0" w:type="auto"/>
            <w:hideMark/>
          </w:tcPr>
          <w:p w14:paraId="46B2F0B6"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Max Payment</w:t>
            </w:r>
          </w:p>
        </w:tc>
      </w:tr>
      <w:tr w:rsidR="007156A2" w:rsidRPr="007156A2" w14:paraId="1D04213C"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4A678"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951</w:t>
            </w:r>
          </w:p>
        </w:tc>
        <w:tc>
          <w:tcPr>
            <w:tcW w:w="0" w:type="auto"/>
            <w:hideMark/>
          </w:tcPr>
          <w:p w14:paraId="0AD30B4F"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~$65,000</w:t>
            </w:r>
          </w:p>
        </w:tc>
        <w:tc>
          <w:tcPr>
            <w:tcW w:w="0" w:type="auto"/>
            <w:hideMark/>
          </w:tcPr>
          <w:p w14:paraId="5D6594A3"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~$275,000</w:t>
            </w:r>
          </w:p>
        </w:tc>
      </w:tr>
      <w:tr w:rsidR="007156A2" w:rsidRPr="007156A2" w14:paraId="53CCFC59" w14:textId="77777777" w:rsidTr="000B3BAF">
        <w:tc>
          <w:tcPr>
            <w:cnfStyle w:val="001000000000" w:firstRow="0" w:lastRow="0" w:firstColumn="1" w:lastColumn="0" w:oddVBand="0" w:evenVBand="0" w:oddHBand="0" w:evenHBand="0" w:firstRowFirstColumn="0" w:firstRowLastColumn="0" w:lastRowFirstColumn="0" w:lastRowLastColumn="0"/>
            <w:tcW w:w="0" w:type="auto"/>
            <w:hideMark/>
          </w:tcPr>
          <w:p w14:paraId="427BC37A"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181</w:t>
            </w:r>
          </w:p>
        </w:tc>
        <w:tc>
          <w:tcPr>
            <w:tcW w:w="0" w:type="auto"/>
            <w:hideMark/>
          </w:tcPr>
          <w:p w14:paraId="21070081"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~$55,000</w:t>
            </w:r>
          </w:p>
        </w:tc>
        <w:tc>
          <w:tcPr>
            <w:tcW w:w="0" w:type="auto"/>
            <w:hideMark/>
          </w:tcPr>
          <w:p w14:paraId="24AB1EE5"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~$235,000</w:t>
            </w:r>
          </w:p>
        </w:tc>
      </w:tr>
      <w:tr w:rsidR="007156A2" w:rsidRPr="007156A2" w14:paraId="4C341C42"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9D545"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314</w:t>
            </w:r>
          </w:p>
        </w:tc>
        <w:tc>
          <w:tcPr>
            <w:tcW w:w="0" w:type="auto"/>
            <w:hideMark/>
          </w:tcPr>
          <w:p w14:paraId="0077AA56"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~$48,000</w:t>
            </w:r>
          </w:p>
        </w:tc>
        <w:tc>
          <w:tcPr>
            <w:tcW w:w="0" w:type="auto"/>
            <w:hideMark/>
          </w:tcPr>
          <w:p w14:paraId="09CE58DF"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~$220,000</w:t>
            </w:r>
          </w:p>
        </w:tc>
      </w:tr>
    </w:tbl>
    <w:p w14:paraId="5BAB54E3" w14:textId="77777777" w:rsidR="00C64B78" w:rsidRPr="00C64B78" w:rsidRDefault="00C64B78" w:rsidP="007156A2">
      <w:pPr>
        <w:rPr>
          <w:rFonts w:ascii="Times New Roman" w:hAnsi="Times New Roman" w:cs="Times New Roman"/>
          <w:b/>
          <w:bCs/>
        </w:rPr>
      </w:pPr>
    </w:p>
    <w:p w14:paraId="062CECA1" w14:textId="35821D50" w:rsidR="007156A2" w:rsidRPr="007156A2" w:rsidRDefault="007156A2" w:rsidP="007156A2">
      <w:pPr>
        <w:rPr>
          <w:rFonts w:ascii="Times New Roman" w:hAnsi="Times New Roman" w:cs="Times New Roman"/>
        </w:rPr>
      </w:pPr>
      <w:r w:rsidRPr="007156A2">
        <w:rPr>
          <w:rFonts w:ascii="Times New Roman" w:hAnsi="Times New Roman" w:cs="Times New Roman"/>
          <w:b/>
          <w:bCs/>
        </w:rPr>
        <w:t>Insight:</w:t>
      </w:r>
      <w:r w:rsidRPr="007156A2">
        <w:rPr>
          <w:rFonts w:ascii="Times New Roman" w:hAnsi="Times New Roman" w:cs="Times New Roman"/>
        </w:rPr>
        <w:t xml:space="preserve"> Variability may result from differences in patient acuity, comorbidities, hospital resources, or regional care practices.</w:t>
      </w:r>
    </w:p>
    <w:p w14:paraId="047E93CA"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1F63C131">
          <v:rect id="_x0000_i1028" style="width:0;height:1.5pt" o:hralign="center" o:hrstd="t" o:hr="t" fillcolor="#a0a0a0" stroked="f"/>
        </w:pict>
      </w:r>
    </w:p>
    <w:p w14:paraId="06F861CF" w14:textId="417A8299"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4. Average Length of Stay (LOS) by DRG</w:t>
      </w:r>
    </w:p>
    <w:p w14:paraId="01CD093C" w14:textId="77777777" w:rsidR="007156A2" w:rsidRPr="007156A2" w:rsidRDefault="007156A2" w:rsidP="007156A2">
      <w:pPr>
        <w:rPr>
          <w:rFonts w:ascii="Times New Roman" w:hAnsi="Times New Roman" w:cs="Times New Roman"/>
        </w:rPr>
      </w:pPr>
      <w:r w:rsidRPr="007156A2">
        <w:rPr>
          <w:rFonts w:ascii="Times New Roman" w:hAnsi="Times New Roman" w:cs="Times New Roman"/>
        </w:rPr>
        <w:t>Longer LOS often contributes to increased costs. The following DRGs showed notably prolonged inpatient durations:</w:t>
      </w:r>
    </w:p>
    <w:tbl>
      <w:tblPr>
        <w:tblStyle w:val="ListTable4-Accent1"/>
        <w:tblW w:w="0" w:type="auto"/>
        <w:tblLook w:val="04A0" w:firstRow="1" w:lastRow="0" w:firstColumn="1" w:lastColumn="0" w:noHBand="0" w:noVBand="1"/>
      </w:tblPr>
      <w:tblGrid>
        <w:gridCol w:w="750"/>
        <w:gridCol w:w="1270"/>
        <w:gridCol w:w="5249"/>
      </w:tblGrid>
      <w:tr w:rsidR="000B3BAF" w:rsidRPr="00C64B78" w14:paraId="190F878B" w14:textId="77777777" w:rsidTr="000B3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7FDC4"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DRG</w:t>
            </w:r>
          </w:p>
        </w:tc>
        <w:tc>
          <w:tcPr>
            <w:tcW w:w="1270" w:type="dxa"/>
            <w:hideMark/>
          </w:tcPr>
          <w:p w14:paraId="2BFF202C"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Avg LOS</w:t>
            </w:r>
          </w:p>
        </w:tc>
        <w:tc>
          <w:tcPr>
            <w:tcW w:w="5249" w:type="dxa"/>
            <w:hideMark/>
          </w:tcPr>
          <w:p w14:paraId="75820BE7" w14:textId="294ADEA5"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 xml:space="preserve">Likely </w:t>
            </w:r>
          </w:p>
        </w:tc>
      </w:tr>
      <w:tr w:rsidR="000B3BAF" w:rsidRPr="00C64B78" w14:paraId="080513F1"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FA542"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951</w:t>
            </w:r>
          </w:p>
        </w:tc>
        <w:tc>
          <w:tcPr>
            <w:tcW w:w="1270" w:type="dxa"/>
            <w:hideMark/>
          </w:tcPr>
          <w:p w14:paraId="50038C93"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104 days</w:t>
            </w:r>
          </w:p>
        </w:tc>
        <w:tc>
          <w:tcPr>
            <w:tcW w:w="5249" w:type="dxa"/>
            <w:hideMark/>
          </w:tcPr>
          <w:p w14:paraId="3334B4B3"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Surgical recovery, post-op care, complications</w:t>
            </w:r>
          </w:p>
        </w:tc>
      </w:tr>
      <w:tr w:rsidR="007156A2" w:rsidRPr="007156A2" w14:paraId="20C2E425" w14:textId="77777777" w:rsidTr="000B3BAF">
        <w:tc>
          <w:tcPr>
            <w:cnfStyle w:val="001000000000" w:firstRow="0" w:lastRow="0" w:firstColumn="1" w:lastColumn="0" w:oddVBand="0" w:evenVBand="0" w:oddHBand="0" w:evenHBand="0" w:firstRowFirstColumn="0" w:firstRowLastColumn="0" w:lastRowFirstColumn="0" w:lastRowLastColumn="0"/>
            <w:tcW w:w="0" w:type="auto"/>
            <w:hideMark/>
          </w:tcPr>
          <w:p w14:paraId="45DAC105"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181</w:t>
            </w:r>
          </w:p>
        </w:tc>
        <w:tc>
          <w:tcPr>
            <w:tcW w:w="1270" w:type="dxa"/>
            <w:hideMark/>
          </w:tcPr>
          <w:p w14:paraId="742BA6B1"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~30+ days</w:t>
            </w:r>
          </w:p>
        </w:tc>
        <w:tc>
          <w:tcPr>
            <w:tcW w:w="5249" w:type="dxa"/>
            <w:hideMark/>
          </w:tcPr>
          <w:p w14:paraId="49A6D840"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Multimodal cancer treatments (e.g., chemo/surgery)</w:t>
            </w:r>
          </w:p>
        </w:tc>
      </w:tr>
      <w:tr w:rsidR="000B3BAF" w:rsidRPr="00C64B78" w14:paraId="6C2834FD"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B7318F"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180</w:t>
            </w:r>
          </w:p>
        </w:tc>
        <w:tc>
          <w:tcPr>
            <w:tcW w:w="1270" w:type="dxa"/>
            <w:hideMark/>
          </w:tcPr>
          <w:p w14:paraId="61F53E26"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~25+ days</w:t>
            </w:r>
          </w:p>
        </w:tc>
        <w:tc>
          <w:tcPr>
            <w:tcW w:w="5249" w:type="dxa"/>
            <w:hideMark/>
          </w:tcPr>
          <w:p w14:paraId="185E13BF"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ICU support for infection-related organ failure</w:t>
            </w:r>
          </w:p>
        </w:tc>
      </w:tr>
      <w:tr w:rsidR="007156A2" w:rsidRPr="007156A2" w14:paraId="3E033208" w14:textId="77777777" w:rsidTr="000B3BAF">
        <w:tc>
          <w:tcPr>
            <w:cnfStyle w:val="001000000000" w:firstRow="0" w:lastRow="0" w:firstColumn="1" w:lastColumn="0" w:oddVBand="0" w:evenVBand="0" w:oddHBand="0" w:evenHBand="0" w:firstRowFirstColumn="0" w:firstRowLastColumn="0" w:lastRowFirstColumn="0" w:lastRowLastColumn="0"/>
            <w:tcW w:w="0" w:type="auto"/>
            <w:hideMark/>
          </w:tcPr>
          <w:p w14:paraId="5D85CD5D"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314</w:t>
            </w:r>
          </w:p>
        </w:tc>
        <w:tc>
          <w:tcPr>
            <w:tcW w:w="1270" w:type="dxa"/>
            <w:hideMark/>
          </w:tcPr>
          <w:p w14:paraId="71244193"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~20+ days</w:t>
            </w:r>
          </w:p>
        </w:tc>
        <w:tc>
          <w:tcPr>
            <w:tcW w:w="5249" w:type="dxa"/>
            <w:hideMark/>
          </w:tcPr>
          <w:p w14:paraId="16F4879C"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Extended cardiac monitoring or recovery</w:t>
            </w:r>
          </w:p>
        </w:tc>
      </w:tr>
    </w:tbl>
    <w:p w14:paraId="1BA325E4" w14:textId="13D95B17" w:rsidR="007156A2" w:rsidRPr="007156A2" w:rsidRDefault="007156A2" w:rsidP="007156A2">
      <w:pPr>
        <w:rPr>
          <w:rFonts w:ascii="Times New Roman" w:hAnsi="Times New Roman" w:cs="Times New Roman"/>
        </w:rPr>
      </w:pPr>
    </w:p>
    <w:p w14:paraId="5CF14C28"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50F73A69">
          <v:rect id="_x0000_i1029" style="width:0;height:1.5pt" o:hralign="center" o:hrstd="t" o:hr="t" fillcolor="#a0a0a0" stroked="f"/>
        </w:pict>
      </w:r>
    </w:p>
    <w:p w14:paraId="30037A71" w14:textId="1FE47D01"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5. Yearly Payment Trends (2015–2023)</w:t>
      </w:r>
    </w:p>
    <w:p w14:paraId="107D07B6" w14:textId="77777777" w:rsidR="007156A2" w:rsidRPr="007156A2" w:rsidRDefault="007156A2" w:rsidP="007156A2">
      <w:pPr>
        <w:rPr>
          <w:rFonts w:ascii="Times New Roman" w:hAnsi="Times New Roman" w:cs="Times New Roman"/>
        </w:rPr>
      </w:pPr>
      <w:r w:rsidRPr="007156A2">
        <w:rPr>
          <w:rFonts w:ascii="Times New Roman" w:hAnsi="Times New Roman" w:cs="Times New Roman"/>
        </w:rPr>
        <w:t>Medicare inpatient costs have steadily increased since 2015, with noticeable acceleration after 2020:</w:t>
      </w:r>
    </w:p>
    <w:p w14:paraId="279D8F9C" w14:textId="77777777" w:rsidR="007156A2" w:rsidRPr="007156A2" w:rsidRDefault="007156A2" w:rsidP="007156A2">
      <w:pPr>
        <w:numPr>
          <w:ilvl w:val="0"/>
          <w:numId w:val="3"/>
        </w:numPr>
        <w:rPr>
          <w:rFonts w:ascii="Times New Roman" w:hAnsi="Times New Roman" w:cs="Times New Roman"/>
        </w:rPr>
      </w:pPr>
      <w:r w:rsidRPr="007156A2">
        <w:rPr>
          <w:rFonts w:ascii="Times New Roman" w:hAnsi="Times New Roman" w:cs="Times New Roman"/>
          <w:b/>
          <w:bCs/>
        </w:rPr>
        <w:t>2022</w:t>
      </w:r>
      <w:r w:rsidRPr="007156A2">
        <w:rPr>
          <w:rFonts w:ascii="Times New Roman" w:hAnsi="Times New Roman" w:cs="Times New Roman"/>
        </w:rPr>
        <w:t>: Highest total payments (~$239M), with an average payment per claim of $23.7K</w:t>
      </w:r>
    </w:p>
    <w:p w14:paraId="629B19E1" w14:textId="77777777" w:rsidR="007156A2" w:rsidRPr="007156A2" w:rsidRDefault="007156A2" w:rsidP="007156A2">
      <w:pPr>
        <w:numPr>
          <w:ilvl w:val="0"/>
          <w:numId w:val="3"/>
        </w:numPr>
        <w:rPr>
          <w:rFonts w:ascii="Times New Roman" w:hAnsi="Times New Roman" w:cs="Times New Roman"/>
        </w:rPr>
      </w:pPr>
      <w:r w:rsidRPr="007156A2">
        <w:rPr>
          <w:rFonts w:ascii="Times New Roman" w:hAnsi="Times New Roman" w:cs="Times New Roman"/>
          <w:b/>
          <w:bCs/>
        </w:rPr>
        <w:t>2023 Q1</w:t>
      </w:r>
      <w:r w:rsidRPr="007156A2">
        <w:rPr>
          <w:rFonts w:ascii="Times New Roman" w:hAnsi="Times New Roman" w:cs="Times New Roman"/>
        </w:rPr>
        <w:t>: Already surpassed $46M</w:t>
      </w:r>
    </w:p>
    <w:p w14:paraId="733CAE24" w14:textId="77777777" w:rsidR="007156A2" w:rsidRPr="007156A2" w:rsidRDefault="007156A2" w:rsidP="007156A2">
      <w:pPr>
        <w:rPr>
          <w:rFonts w:ascii="Times New Roman" w:hAnsi="Times New Roman" w:cs="Times New Roman"/>
        </w:rPr>
      </w:pPr>
      <w:r w:rsidRPr="007156A2">
        <w:rPr>
          <w:rFonts w:ascii="Times New Roman" w:hAnsi="Times New Roman" w:cs="Times New Roman"/>
          <w:b/>
          <w:bCs/>
        </w:rPr>
        <w:t>Likely Factors:</w:t>
      </w:r>
    </w:p>
    <w:p w14:paraId="79F1A05F" w14:textId="77777777" w:rsidR="007156A2" w:rsidRPr="007156A2" w:rsidRDefault="007156A2" w:rsidP="007156A2">
      <w:pPr>
        <w:numPr>
          <w:ilvl w:val="0"/>
          <w:numId w:val="4"/>
        </w:numPr>
        <w:rPr>
          <w:rFonts w:ascii="Times New Roman" w:hAnsi="Times New Roman" w:cs="Times New Roman"/>
        </w:rPr>
      </w:pPr>
      <w:r w:rsidRPr="007156A2">
        <w:rPr>
          <w:rFonts w:ascii="Times New Roman" w:hAnsi="Times New Roman" w:cs="Times New Roman"/>
        </w:rPr>
        <w:t>Delayed procedures from COVID-19</w:t>
      </w:r>
    </w:p>
    <w:p w14:paraId="45A2621C" w14:textId="77777777" w:rsidR="007156A2" w:rsidRPr="007156A2" w:rsidRDefault="007156A2" w:rsidP="007156A2">
      <w:pPr>
        <w:numPr>
          <w:ilvl w:val="0"/>
          <w:numId w:val="4"/>
        </w:numPr>
        <w:rPr>
          <w:rFonts w:ascii="Times New Roman" w:hAnsi="Times New Roman" w:cs="Times New Roman"/>
        </w:rPr>
      </w:pPr>
      <w:r w:rsidRPr="007156A2">
        <w:rPr>
          <w:rFonts w:ascii="Times New Roman" w:hAnsi="Times New Roman" w:cs="Times New Roman"/>
        </w:rPr>
        <w:lastRenderedPageBreak/>
        <w:t>Increased patient severity</w:t>
      </w:r>
    </w:p>
    <w:p w14:paraId="019AA0EB" w14:textId="77777777" w:rsidR="007156A2" w:rsidRPr="007156A2" w:rsidRDefault="007156A2" w:rsidP="007156A2">
      <w:pPr>
        <w:numPr>
          <w:ilvl w:val="0"/>
          <w:numId w:val="4"/>
        </w:numPr>
        <w:rPr>
          <w:rFonts w:ascii="Times New Roman" w:hAnsi="Times New Roman" w:cs="Times New Roman"/>
        </w:rPr>
      </w:pPr>
      <w:r w:rsidRPr="007156A2">
        <w:rPr>
          <w:rFonts w:ascii="Times New Roman" w:hAnsi="Times New Roman" w:cs="Times New Roman"/>
        </w:rPr>
        <w:t>Shifts in DRG case mix</w:t>
      </w:r>
    </w:p>
    <w:p w14:paraId="6559FBAA" w14:textId="15250304" w:rsidR="007156A2" w:rsidRPr="007156A2" w:rsidRDefault="007156A2" w:rsidP="007156A2">
      <w:pPr>
        <w:rPr>
          <w:rFonts w:ascii="Times New Roman" w:hAnsi="Times New Roman" w:cs="Times New Roman"/>
        </w:rPr>
      </w:pPr>
      <w:r w:rsidRPr="007156A2">
        <w:rPr>
          <w:rFonts w:ascii="Times New Roman" w:hAnsi="Times New Roman" w:cs="Times New Roman"/>
          <w:b/>
          <w:bCs/>
        </w:rPr>
        <w:t>Implication:</w:t>
      </w:r>
      <w:r w:rsidRPr="007156A2">
        <w:rPr>
          <w:rFonts w:ascii="Times New Roman" w:hAnsi="Times New Roman" w:cs="Times New Roman"/>
        </w:rPr>
        <w:t xml:space="preserve"> Cost forecasting is essential for healthcare systems to maintain financial sustainability post-pandemic.</w:t>
      </w:r>
    </w:p>
    <w:p w14:paraId="1E49349E" w14:textId="77777777" w:rsidR="00C74B13" w:rsidRDefault="00C74B13" w:rsidP="007156A2">
      <w:pPr>
        <w:rPr>
          <w:rFonts w:ascii="Times New Roman" w:hAnsi="Times New Roman" w:cs="Times New Roman"/>
        </w:rPr>
      </w:pPr>
      <w:r w:rsidRPr="00C74B13">
        <w:rPr>
          <w:rFonts w:ascii="Times New Roman" w:hAnsi="Times New Roman" w:cs="Times New Roman"/>
          <w:b/>
          <w:bCs/>
        </w:rPr>
        <w:t>6. Seasonal and Monthly Patterns</w:t>
      </w:r>
      <w:r w:rsidRPr="00C74B13">
        <w:rPr>
          <w:rFonts w:ascii="Times New Roman" w:hAnsi="Times New Roman" w:cs="Times New Roman"/>
          <w:b/>
          <w:bCs/>
        </w:rPr>
        <w:br/>
      </w:r>
      <w:r w:rsidRPr="00C74B13">
        <w:rPr>
          <w:rFonts w:ascii="Times New Roman" w:hAnsi="Times New Roman" w:cs="Times New Roman"/>
        </w:rPr>
        <w:t xml:space="preserve">Total inpatient payments and claim volumes peaked in June 2022, with elevated activity also seen in January and December across multiple years. While winter months often show increased claims—possibly due to seasonal </w:t>
      </w:r>
      <w:proofErr w:type="gramStart"/>
      <w:r w:rsidRPr="00C74B13">
        <w:rPr>
          <w:rFonts w:ascii="Times New Roman" w:hAnsi="Times New Roman" w:cs="Times New Roman"/>
        </w:rPr>
        <w:t>illnesses—</w:t>
      </w:r>
      <w:proofErr w:type="gramEnd"/>
      <w:r w:rsidRPr="00C74B13">
        <w:rPr>
          <w:rFonts w:ascii="Times New Roman" w:hAnsi="Times New Roman" w:cs="Times New Roman"/>
        </w:rPr>
        <w:t xml:space="preserve">this pattern isn’t consistent. For instance, June 2022 outpaced all other months, likely due to post-COVID procedure backlogs or other operational factors. Some November months, like 2020, also saw significant spikes. These findings suggest seasonal influences may </w:t>
      </w:r>
      <w:proofErr w:type="gramStart"/>
      <w:r w:rsidRPr="00C74B13">
        <w:rPr>
          <w:rFonts w:ascii="Times New Roman" w:hAnsi="Times New Roman" w:cs="Times New Roman"/>
        </w:rPr>
        <w:t>exist, but</w:t>
      </w:r>
      <w:proofErr w:type="gramEnd"/>
      <w:r w:rsidRPr="00C74B13">
        <w:rPr>
          <w:rFonts w:ascii="Times New Roman" w:hAnsi="Times New Roman" w:cs="Times New Roman"/>
        </w:rPr>
        <w:t xml:space="preserve"> are shaped by year-specific events rather than predictable trends.</w:t>
      </w:r>
    </w:p>
    <w:p w14:paraId="6CDAE183" w14:textId="59E416BD" w:rsidR="007156A2" w:rsidRPr="00C74B13" w:rsidRDefault="007156A2" w:rsidP="007156A2">
      <w:pPr>
        <w:rPr>
          <w:rFonts w:ascii="Times New Roman" w:hAnsi="Times New Roman" w:cs="Times New Roman"/>
          <w:b/>
          <w:bCs/>
        </w:rPr>
      </w:pPr>
      <w:r w:rsidRPr="00C74B13">
        <w:rPr>
          <w:rFonts w:ascii="Times New Roman" w:hAnsi="Times New Roman" w:cs="Times New Roman"/>
          <w:b/>
          <w:bCs/>
        </w:rPr>
        <w:t>7. Summary of High-Impact DRGs</w:t>
      </w:r>
    </w:p>
    <w:tbl>
      <w:tblPr>
        <w:tblStyle w:val="ListTable4-Accent1"/>
        <w:tblW w:w="0" w:type="auto"/>
        <w:tblLook w:val="04A0" w:firstRow="1" w:lastRow="0" w:firstColumn="1" w:lastColumn="0" w:noHBand="0" w:noVBand="1"/>
      </w:tblPr>
      <w:tblGrid>
        <w:gridCol w:w="750"/>
        <w:gridCol w:w="4098"/>
        <w:gridCol w:w="1578"/>
        <w:gridCol w:w="1152"/>
        <w:gridCol w:w="1677"/>
      </w:tblGrid>
      <w:tr w:rsidR="007156A2" w:rsidRPr="007156A2" w14:paraId="2A300F03" w14:textId="77777777" w:rsidTr="000B3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A3DE7"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DRG</w:t>
            </w:r>
          </w:p>
        </w:tc>
        <w:tc>
          <w:tcPr>
            <w:tcW w:w="0" w:type="auto"/>
            <w:hideMark/>
          </w:tcPr>
          <w:p w14:paraId="37F57C31"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Description</w:t>
            </w:r>
          </w:p>
        </w:tc>
        <w:tc>
          <w:tcPr>
            <w:tcW w:w="0" w:type="auto"/>
            <w:hideMark/>
          </w:tcPr>
          <w:p w14:paraId="5FAA4342"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Avg Payment</w:t>
            </w:r>
          </w:p>
        </w:tc>
        <w:tc>
          <w:tcPr>
            <w:tcW w:w="0" w:type="auto"/>
            <w:hideMark/>
          </w:tcPr>
          <w:p w14:paraId="21E3248D"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Avg LOS</w:t>
            </w:r>
          </w:p>
        </w:tc>
        <w:tc>
          <w:tcPr>
            <w:tcW w:w="0" w:type="auto"/>
            <w:hideMark/>
          </w:tcPr>
          <w:p w14:paraId="21FE0C71" w14:textId="77777777" w:rsidR="007156A2" w:rsidRPr="007156A2" w:rsidRDefault="007156A2" w:rsidP="007156A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Claim Volume</w:t>
            </w:r>
          </w:p>
        </w:tc>
      </w:tr>
      <w:tr w:rsidR="007156A2" w:rsidRPr="007156A2" w14:paraId="5F48B568"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CB644"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951</w:t>
            </w:r>
          </w:p>
        </w:tc>
        <w:tc>
          <w:tcPr>
            <w:tcW w:w="0" w:type="auto"/>
            <w:hideMark/>
          </w:tcPr>
          <w:p w14:paraId="32A90FD1"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Complex Surgery (Unrelated Diagnosis)</w:t>
            </w:r>
          </w:p>
        </w:tc>
        <w:tc>
          <w:tcPr>
            <w:tcW w:w="0" w:type="auto"/>
            <w:hideMark/>
          </w:tcPr>
          <w:p w14:paraId="1AD098D9"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$130K+</w:t>
            </w:r>
          </w:p>
        </w:tc>
        <w:tc>
          <w:tcPr>
            <w:tcW w:w="0" w:type="auto"/>
            <w:hideMark/>
          </w:tcPr>
          <w:p w14:paraId="4F848117"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104 days</w:t>
            </w:r>
          </w:p>
        </w:tc>
        <w:tc>
          <w:tcPr>
            <w:tcW w:w="0" w:type="auto"/>
            <w:hideMark/>
          </w:tcPr>
          <w:p w14:paraId="29593B67"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Medium</w:t>
            </w:r>
          </w:p>
        </w:tc>
      </w:tr>
      <w:tr w:rsidR="007156A2" w:rsidRPr="007156A2" w14:paraId="1CDB00B2" w14:textId="77777777" w:rsidTr="000B3BAF">
        <w:tc>
          <w:tcPr>
            <w:cnfStyle w:val="001000000000" w:firstRow="0" w:lastRow="0" w:firstColumn="1" w:lastColumn="0" w:oddVBand="0" w:evenVBand="0" w:oddHBand="0" w:evenHBand="0" w:firstRowFirstColumn="0" w:firstRowLastColumn="0" w:lastRowFirstColumn="0" w:lastRowLastColumn="0"/>
            <w:tcW w:w="0" w:type="auto"/>
            <w:hideMark/>
          </w:tcPr>
          <w:p w14:paraId="03645291"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181</w:t>
            </w:r>
          </w:p>
        </w:tc>
        <w:tc>
          <w:tcPr>
            <w:tcW w:w="0" w:type="auto"/>
            <w:hideMark/>
          </w:tcPr>
          <w:p w14:paraId="3AC03AD9"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Respiratory Neoplasms</w:t>
            </w:r>
          </w:p>
        </w:tc>
        <w:tc>
          <w:tcPr>
            <w:tcW w:w="0" w:type="auto"/>
            <w:hideMark/>
          </w:tcPr>
          <w:p w14:paraId="7B9E7D2E"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$135K+</w:t>
            </w:r>
          </w:p>
        </w:tc>
        <w:tc>
          <w:tcPr>
            <w:tcW w:w="0" w:type="auto"/>
            <w:hideMark/>
          </w:tcPr>
          <w:p w14:paraId="0A355290"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30+ days</w:t>
            </w:r>
          </w:p>
        </w:tc>
        <w:tc>
          <w:tcPr>
            <w:tcW w:w="0" w:type="auto"/>
            <w:hideMark/>
          </w:tcPr>
          <w:p w14:paraId="3AAD13BD"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Medium</w:t>
            </w:r>
          </w:p>
        </w:tc>
      </w:tr>
      <w:tr w:rsidR="007156A2" w:rsidRPr="007156A2" w14:paraId="713788F9" w14:textId="77777777" w:rsidTr="000B3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667A3"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180</w:t>
            </w:r>
          </w:p>
        </w:tc>
        <w:tc>
          <w:tcPr>
            <w:tcW w:w="0" w:type="auto"/>
            <w:hideMark/>
          </w:tcPr>
          <w:p w14:paraId="28B289D2"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Severe Respiratory Infections</w:t>
            </w:r>
          </w:p>
        </w:tc>
        <w:tc>
          <w:tcPr>
            <w:tcW w:w="0" w:type="auto"/>
            <w:hideMark/>
          </w:tcPr>
          <w:p w14:paraId="645DFA34"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$132K+</w:t>
            </w:r>
          </w:p>
        </w:tc>
        <w:tc>
          <w:tcPr>
            <w:tcW w:w="0" w:type="auto"/>
            <w:hideMark/>
          </w:tcPr>
          <w:p w14:paraId="04549095"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25+ days</w:t>
            </w:r>
          </w:p>
        </w:tc>
        <w:tc>
          <w:tcPr>
            <w:tcW w:w="0" w:type="auto"/>
            <w:hideMark/>
          </w:tcPr>
          <w:p w14:paraId="3B3B68FD" w14:textId="77777777" w:rsidR="007156A2" w:rsidRPr="007156A2" w:rsidRDefault="007156A2" w:rsidP="007156A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High</w:t>
            </w:r>
          </w:p>
        </w:tc>
      </w:tr>
      <w:tr w:rsidR="007156A2" w:rsidRPr="007156A2" w14:paraId="36790FDA" w14:textId="77777777" w:rsidTr="000B3BAF">
        <w:tc>
          <w:tcPr>
            <w:cnfStyle w:val="001000000000" w:firstRow="0" w:lastRow="0" w:firstColumn="1" w:lastColumn="0" w:oddVBand="0" w:evenVBand="0" w:oddHBand="0" w:evenHBand="0" w:firstRowFirstColumn="0" w:firstRowLastColumn="0" w:lastRowFirstColumn="0" w:lastRowLastColumn="0"/>
            <w:tcW w:w="0" w:type="auto"/>
            <w:hideMark/>
          </w:tcPr>
          <w:p w14:paraId="7A8EBB34" w14:textId="77777777" w:rsidR="007156A2" w:rsidRPr="007156A2" w:rsidRDefault="007156A2" w:rsidP="007156A2">
            <w:pPr>
              <w:spacing w:after="160" w:line="278" w:lineRule="auto"/>
              <w:rPr>
                <w:rFonts w:ascii="Times New Roman" w:hAnsi="Times New Roman" w:cs="Times New Roman"/>
              </w:rPr>
            </w:pPr>
            <w:r w:rsidRPr="007156A2">
              <w:rPr>
                <w:rFonts w:ascii="Times New Roman" w:hAnsi="Times New Roman" w:cs="Times New Roman"/>
              </w:rPr>
              <w:t>314</w:t>
            </w:r>
          </w:p>
        </w:tc>
        <w:tc>
          <w:tcPr>
            <w:tcW w:w="0" w:type="auto"/>
            <w:hideMark/>
          </w:tcPr>
          <w:p w14:paraId="50B0B8BE"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Other Circulatory Conditions</w:t>
            </w:r>
          </w:p>
        </w:tc>
        <w:tc>
          <w:tcPr>
            <w:tcW w:w="0" w:type="auto"/>
            <w:hideMark/>
          </w:tcPr>
          <w:p w14:paraId="26AC3ECC"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$125K+</w:t>
            </w:r>
          </w:p>
        </w:tc>
        <w:tc>
          <w:tcPr>
            <w:tcW w:w="0" w:type="auto"/>
            <w:hideMark/>
          </w:tcPr>
          <w:p w14:paraId="38F1CF8F"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20+ days</w:t>
            </w:r>
          </w:p>
        </w:tc>
        <w:tc>
          <w:tcPr>
            <w:tcW w:w="0" w:type="auto"/>
            <w:hideMark/>
          </w:tcPr>
          <w:p w14:paraId="2FB46450" w14:textId="77777777" w:rsidR="007156A2" w:rsidRPr="007156A2" w:rsidRDefault="007156A2" w:rsidP="007156A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6A2">
              <w:rPr>
                <w:rFonts w:ascii="Times New Roman" w:hAnsi="Times New Roman" w:cs="Times New Roman"/>
              </w:rPr>
              <w:t>High</w:t>
            </w:r>
          </w:p>
        </w:tc>
      </w:tr>
    </w:tbl>
    <w:p w14:paraId="5D620046"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27214E0F">
          <v:rect id="_x0000_i1030" style="width:0;height:1.5pt" o:hralign="center" o:hrstd="t" o:hr="t" fillcolor="#a0a0a0" stroked="f"/>
        </w:pict>
      </w:r>
    </w:p>
    <w:p w14:paraId="13B174B8" w14:textId="2EB96A56"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Conclusion</w:t>
      </w:r>
    </w:p>
    <w:p w14:paraId="19D770EA" w14:textId="77777777" w:rsidR="007156A2" w:rsidRPr="007156A2" w:rsidRDefault="007156A2" w:rsidP="007156A2">
      <w:pPr>
        <w:rPr>
          <w:rFonts w:ascii="Times New Roman" w:hAnsi="Times New Roman" w:cs="Times New Roman"/>
        </w:rPr>
      </w:pPr>
      <w:r w:rsidRPr="007156A2">
        <w:rPr>
          <w:rFonts w:ascii="Times New Roman" w:hAnsi="Times New Roman" w:cs="Times New Roman"/>
        </w:rPr>
        <w:t>This Medicare DRG analysis highlights critical trends in healthcare cost drivers:</w:t>
      </w:r>
    </w:p>
    <w:p w14:paraId="79139214" w14:textId="77777777" w:rsidR="007156A2" w:rsidRPr="007156A2" w:rsidRDefault="007156A2" w:rsidP="007156A2">
      <w:pPr>
        <w:numPr>
          <w:ilvl w:val="0"/>
          <w:numId w:val="6"/>
        </w:numPr>
        <w:rPr>
          <w:rFonts w:ascii="Times New Roman" w:hAnsi="Times New Roman" w:cs="Times New Roman"/>
        </w:rPr>
      </w:pPr>
      <w:r w:rsidRPr="007156A2">
        <w:rPr>
          <w:rFonts w:ascii="Times New Roman" w:hAnsi="Times New Roman" w:cs="Times New Roman"/>
          <w:b/>
          <w:bCs/>
        </w:rPr>
        <w:t>Cost Drivers</w:t>
      </w:r>
      <w:r w:rsidRPr="007156A2">
        <w:rPr>
          <w:rFonts w:ascii="Times New Roman" w:hAnsi="Times New Roman" w:cs="Times New Roman"/>
        </w:rPr>
        <w:t>: Inpatient care costs are largely influenced by high-acuity respiratory, oncologic, and surgical cases.</w:t>
      </w:r>
    </w:p>
    <w:p w14:paraId="7ED7F7A2" w14:textId="77777777" w:rsidR="007156A2" w:rsidRPr="007156A2" w:rsidRDefault="007156A2" w:rsidP="007156A2">
      <w:pPr>
        <w:numPr>
          <w:ilvl w:val="0"/>
          <w:numId w:val="6"/>
        </w:numPr>
        <w:rPr>
          <w:rFonts w:ascii="Times New Roman" w:hAnsi="Times New Roman" w:cs="Times New Roman"/>
        </w:rPr>
      </w:pPr>
      <w:r w:rsidRPr="007156A2">
        <w:rPr>
          <w:rFonts w:ascii="Times New Roman" w:hAnsi="Times New Roman" w:cs="Times New Roman"/>
          <w:b/>
          <w:bCs/>
        </w:rPr>
        <w:t>Clinical Variation</w:t>
      </w:r>
      <w:r w:rsidRPr="007156A2">
        <w:rPr>
          <w:rFonts w:ascii="Times New Roman" w:hAnsi="Times New Roman" w:cs="Times New Roman"/>
        </w:rPr>
        <w:t>: LOS and cost variability across DRGs suggest different care strategies and patient complexities.</w:t>
      </w:r>
    </w:p>
    <w:p w14:paraId="3E43F11F" w14:textId="77777777" w:rsidR="007156A2" w:rsidRPr="007156A2" w:rsidRDefault="007156A2" w:rsidP="007156A2">
      <w:pPr>
        <w:numPr>
          <w:ilvl w:val="0"/>
          <w:numId w:val="6"/>
        </w:numPr>
        <w:rPr>
          <w:rFonts w:ascii="Times New Roman" w:hAnsi="Times New Roman" w:cs="Times New Roman"/>
        </w:rPr>
      </w:pPr>
      <w:r w:rsidRPr="007156A2">
        <w:rPr>
          <w:rFonts w:ascii="Times New Roman" w:hAnsi="Times New Roman" w:cs="Times New Roman"/>
          <w:b/>
          <w:bCs/>
        </w:rPr>
        <w:t>Strategic Implications</w:t>
      </w:r>
      <w:r w:rsidRPr="007156A2">
        <w:rPr>
          <w:rFonts w:ascii="Times New Roman" w:hAnsi="Times New Roman" w:cs="Times New Roman"/>
        </w:rPr>
        <w:t>: Systems should focus on optimizing discharge processes, forecasting seasonal resource needs, and identifying high-cost DRGs for care standardization.</w:t>
      </w:r>
    </w:p>
    <w:p w14:paraId="4F86020F" w14:textId="77777777" w:rsidR="007156A2" w:rsidRPr="007156A2" w:rsidRDefault="00000000" w:rsidP="007156A2">
      <w:pPr>
        <w:rPr>
          <w:rFonts w:ascii="Times New Roman" w:hAnsi="Times New Roman" w:cs="Times New Roman"/>
        </w:rPr>
      </w:pPr>
      <w:r>
        <w:rPr>
          <w:rFonts w:ascii="Times New Roman" w:hAnsi="Times New Roman" w:cs="Times New Roman"/>
        </w:rPr>
        <w:pict w14:anchorId="43BC58F6">
          <v:rect id="_x0000_i1031" style="width:0;height:1.5pt" o:hralign="center" o:hrstd="t" o:hr="t" fillcolor="#a0a0a0" stroked="f"/>
        </w:pict>
      </w:r>
    </w:p>
    <w:p w14:paraId="6309E472" w14:textId="2111D606" w:rsidR="007156A2" w:rsidRPr="007156A2" w:rsidRDefault="007156A2" w:rsidP="007156A2">
      <w:pPr>
        <w:rPr>
          <w:rFonts w:ascii="Times New Roman" w:hAnsi="Times New Roman" w:cs="Times New Roman"/>
          <w:b/>
          <w:bCs/>
        </w:rPr>
      </w:pPr>
      <w:r w:rsidRPr="007156A2">
        <w:rPr>
          <w:rFonts w:ascii="Times New Roman" w:hAnsi="Times New Roman" w:cs="Times New Roman"/>
          <w:b/>
          <w:bCs/>
        </w:rPr>
        <w:t xml:space="preserve"> Suggested Use Cases (Student Perspective)</w:t>
      </w:r>
    </w:p>
    <w:p w14:paraId="0D8DD1F1" w14:textId="77777777" w:rsidR="007156A2" w:rsidRPr="007156A2" w:rsidRDefault="007156A2" w:rsidP="007156A2">
      <w:pPr>
        <w:numPr>
          <w:ilvl w:val="0"/>
          <w:numId w:val="7"/>
        </w:numPr>
        <w:rPr>
          <w:rFonts w:ascii="Times New Roman" w:hAnsi="Times New Roman" w:cs="Times New Roman"/>
        </w:rPr>
      </w:pPr>
      <w:r w:rsidRPr="007156A2">
        <w:rPr>
          <w:rFonts w:ascii="Times New Roman" w:hAnsi="Times New Roman" w:cs="Times New Roman"/>
          <w:b/>
          <w:bCs/>
        </w:rPr>
        <w:lastRenderedPageBreak/>
        <w:t>Hospital Administrators</w:t>
      </w:r>
      <w:r w:rsidRPr="007156A2">
        <w:rPr>
          <w:rFonts w:ascii="Times New Roman" w:hAnsi="Times New Roman" w:cs="Times New Roman"/>
        </w:rPr>
        <w:t>: Use DRG insights to improve discharge efficiency and monitor high-cost cases.</w:t>
      </w:r>
    </w:p>
    <w:p w14:paraId="14BBCCF1" w14:textId="77777777" w:rsidR="007156A2" w:rsidRPr="007156A2" w:rsidRDefault="007156A2" w:rsidP="007156A2">
      <w:pPr>
        <w:numPr>
          <w:ilvl w:val="0"/>
          <w:numId w:val="7"/>
        </w:numPr>
        <w:rPr>
          <w:rFonts w:ascii="Times New Roman" w:hAnsi="Times New Roman" w:cs="Times New Roman"/>
        </w:rPr>
      </w:pPr>
      <w:r w:rsidRPr="007156A2">
        <w:rPr>
          <w:rFonts w:ascii="Times New Roman" w:hAnsi="Times New Roman" w:cs="Times New Roman"/>
          <w:b/>
          <w:bCs/>
        </w:rPr>
        <w:t>Policy Analysts</w:t>
      </w:r>
      <w:r w:rsidRPr="007156A2">
        <w:rPr>
          <w:rFonts w:ascii="Times New Roman" w:hAnsi="Times New Roman" w:cs="Times New Roman"/>
        </w:rPr>
        <w:t>: Identify DRGs for reimbursement reform or bundled payment models.</w:t>
      </w:r>
    </w:p>
    <w:p w14:paraId="03B1EA7C" w14:textId="77777777" w:rsidR="007156A2" w:rsidRPr="007156A2" w:rsidRDefault="007156A2" w:rsidP="007156A2">
      <w:pPr>
        <w:numPr>
          <w:ilvl w:val="0"/>
          <w:numId w:val="7"/>
        </w:numPr>
        <w:rPr>
          <w:rFonts w:ascii="Times New Roman" w:hAnsi="Times New Roman" w:cs="Times New Roman"/>
        </w:rPr>
      </w:pPr>
      <w:r w:rsidRPr="007156A2">
        <w:rPr>
          <w:rFonts w:ascii="Times New Roman" w:hAnsi="Times New Roman" w:cs="Times New Roman"/>
          <w:b/>
          <w:bCs/>
        </w:rPr>
        <w:t>Data Science Teams</w:t>
      </w:r>
      <w:r w:rsidRPr="007156A2">
        <w:rPr>
          <w:rFonts w:ascii="Times New Roman" w:hAnsi="Times New Roman" w:cs="Times New Roman"/>
        </w:rPr>
        <w:t>: Develop predictive models for inpatient utilization and cost forecasting.</w:t>
      </w:r>
    </w:p>
    <w:p w14:paraId="1B6754DB" w14:textId="77777777" w:rsidR="007156A2" w:rsidRPr="00C64B78" w:rsidRDefault="007156A2">
      <w:pPr>
        <w:rPr>
          <w:rFonts w:ascii="Times New Roman" w:hAnsi="Times New Roman" w:cs="Times New Roman"/>
        </w:rPr>
      </w:pPr>
    </w:p>
    <w:sectPr w:rsidR="007156A2" w:rsidRPr="00C6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93D"/>
    <w:multiLevelType w:val="multilevel"/>
    <w:tmpl w:val="0F9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747A"/>
    <w:multiLevelType w:val="multilevel"/>
    <w:tmpl w:val="846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73784"/>
    <w:multiLevelType w:val="multilevel"/>
    <w:tmpl w:val="EF2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E0B47"/>
    <w:multiLevelType w:val="multilevel"/>
    <w:tmpl w:val="870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B73AE"/>
    <w:multiLevelType w:val="multilevel"/>
    <w:tmpl w:val="36F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47CB3"/>
    <w:multiLevelType w:val="multilevel"/>
    <w:tmpl w:val="8886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44F"/>
    <w:multiLevelType w:val="hybridMultilevel"/>
    <w:tmpl w:val="686C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314E1"/>
    <w:multiLevelType w:val="multilevel"/>
    <w:tmpl w:val="4A3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62E1D"/>
    <w:multiLevelType w:val="hybridMultilevel"/>
    <w:tmpl w:val="4A8C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153796">
    <w:abstractNumId w:val="0"/>
  </w:num>
  <w:num w:numId="2" w16cid:durableId="1602955563">
    <w:abstractNumId w:val="2"/>
  </w:num>
  <w:num w:numId="3" w16cid:durableId="1710841965">
    <w:abstractNumId w:val="5"/>
  </w:num>
  <w:num w:numId="4" w16cid:durableId="1184438608">
    <w:abstractNumId w:val="1"/>
  </w:num>
  <w:num w:numId="5" w16cid:durableId="1952858081">
    <w:abstractNumId w:val="3"/>
  </w:num>
  <w:num w:numId="6" w16cid:durableId="1896310886">
    <w:abstractNumId w:val="7"/>
  </w:num>
  <w:num w:numId="7" w16cid:durableId="1759329253">
    <w:abstractNumId w:val="4"/>
  </w:num>
  <w:num w:numId="8" w16cid:durableId="1596936598">
    <w:abstractNumId w:val="8"/>
  </w:num>
  <w:num w:numId="9" w16cid:durableId="1281648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A2"/>
    <w:rsid w:val="0008532A"/>
    <w:rsid w:val="000B3BAF"/>
    <w:rsid w:val="000E4A1C"/>
    <w:rsid w:val="003741C2"/>
    <w:rsid w:val="00381603"/>
    <w:rsid w:val="007156A2"/>
    <w:rsid w:val="00C64B78"/>
    <w:rsid w:val="00C7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22FE"/>
  <w15:chartTrackingRefBased/>
  <w15:docId w15:val="{D79D7400-4CFF-4279-8E05-118E2E09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6A2"/>
    <w:rPr>
      <w:rFonts w:eastAsiaTheme="majorEastAsia" w:cstheme="majorBidi"/>
      <w:color w:val="272727" w:themeColor="text1" w:themeTint="D8"/>
    </w:rPr>
  </w:style>
  <w:style w:type="paragraph" w:styleId="Title">
    <w:name w:val="Title"/>
    <w:basedOn w:val="Normal"/>
    <w:next w:val="Normal"/>
    <w:link w:val="TitleChar"/>
    <w:uiPriority w:val="10"/>
    <w:qFormat/>
    <w:rsid w:val="00715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6A2"/>
    <w:pPr>
      <w:spacing w:before="160"/>
      <w:jc w:val="center"/>
    </w:pPr>
    <w:rPr>
      <w:i/>
      <w:iCs/>
      <w:color w:val="404040" w:themeColor="text1" w:themeTint="BF"/>
    </w:rPr>
  </w:style>
  <w:style w:type="character" w:customStyle="1" w:styleId="QuoteChar">
    <w:name w:val="Quote Char"/>
    <w:basedOn w:val="DefaultParagraphFont"/>
    <w:link w:val="Quote"/>
    <w:uiPriority w:val="29"/>
    <w:rsid w:val="007156A2"/>
    <w:rPr>
      <w:i/>
      <w:iCs/>
      <w:color w:val="404040" w:themeColor="text1" w:themeTint="BF"/>
    </w:rPr>
  </w:style>
  <w:style w:type="paragraph" w:styleId="ListParagraph">
    <w:name w:val="List Paragraph"/>
    <w:basedOn w:val="Normal"/>
    <w:uiPriority w:val="34"/>
    <w:qFormat/>
    <w:rsid w:val="007156A2"/>
    <w:pPr>
      <w:ind w:left="720"/>
      <w:contextualSpacing/>
    </w:pPr>
  </w:style>
  <w:style w:type="character" w:styleId="IntenseEmphasis">
    <w:name w:val="Intense Emphasis"/>
    <w:basedOn w:val="DefaultParagraphFont"/>
    <w:uiPriority w:val="21"/>
    <w:qFormat/>
    <w:rsid w:val="007156A2"/>
    <w:rPr>
      <w:i/>
      <w:iCs/>
      <w:color w:val="0F4761" w:themeColor="accent1" w:themeShade="BF"/>
    </w:rPr>
  </w:style>
  <w:style w:type="paragraph" w:styleId="IntenseQuote">
    <w:name w:val="Intense Quote"/>
    <w:basedOn w:val="Normal"/>
    <w:next w:val="Normal"/>
    <w:link w:val="IntenseQuoteChar"/>
    <w:uiPriority w:val="30"/>
    <w:qFormat/>
    <w:rsid w:val="00715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6A2"/>
    <w:rPr>
      <w:i/>
      <w:iCs/>
      <w:color w:val="0F4761" w:themeColor="accent1" w:themeShade="BF"/>
    </w:rPr>
  </w:style>
  <w:style w:type="character" w:styleId="IntenseReference">
    <w:name w:val="Intense Reference"/>
    <w:basedOn w:val="DefaultParagraphFont"/>
    <w:uiPriority w:val="32"/>
    <w:qFormat/>
    <w:rsid w:val="007156A2"/>
    <w:rPr>
      <w:b/>
      <w:bCs/>
      <w:smallCaps/>
      <w:color w:val="0F4761" w:themeColor="accent1" w:themeShade="BF"/>
      <w:spacing w:val="5"/>
    </w:rPr>
  </w:style>
  <w:style w:type="table" w:styleId="TableGrid">
    <w:name w:val="Table Grid"/>
    <w:basedOn w:val="TableNormal"/>
    <w:uiPriority w:val="39"/>
    <w:rsid w:val="0071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B3BAF"/>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B3B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3B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B3B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B3BA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1">
    <w:name w:val="List Table 4 Accent 1"/>
    <w:basedOn w:val="TableNormal"/>
    <w:uiPriority w:val="49"/>
    <w:rsid w:val="000B3BA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71307">
      <w:bodyDiv w:val="1"/>
      <w:marLeft w:val="0"/>
      <w:marRight w:val="0"/>
      <w:marTop w:val="0"/>
      <w:marBottom w:val="0"/>
      <w:divBdr>
        <w:top w:val="none" w:sz="0" w:space="0" w:color="auto"/>
        <w:left w:val="none" w:sz="0" w:space="0" w:color="auto"/>
        <w:bottom w:val="none" w:sz="0" w:space="0" w:color="auto"/>
        <w:right w:val="none" w:sz="0" w:space="0" w:color="auto"/>
      </w:divBdr>
      <w:divsChild>
        <w:div w:id="1991866807">
          <w:marLeft w:val="0"/>
          <w:marRight w:val="0"/>
          <w:marTop w:val="0"/>
          <w:marBottom w:val="0"/>
          <w:divBdr>
            <w:top w:val="none" w:sz="0" w:space="0" w:color="auto"/>
            <w:left w:val="none" w:sz="0" w:space="0" w:color="auto"/>
            <w:bottom w:val="none" w:sz="0" w:space="0" w:color="auto"/>
            <w:right w:val="none" w:sz="0" w:space="0" w:color="auto"/>
          </w:divBdr>
          <w:divsChild>
            <w:div w:id="84110313">
              <w:marLeft w:val="0"/>
              <w:marRight w:val="0"/>
              <w:marTop w:val="0"/>
              <w:marBottom w:val="0"/>
              <w:divBdr>
                <w:top w:val="none" w:sz="0" w:space="0" w:color="auto"/>
                <w:left w:val="none" w:sz="0" w:space="0" w:color="auto"/>
                <w:bottom w:val="none" w:sz="0" w:space="0" w:color="auto"/>
                <w:right w:val="none" w:sz="0" w:space="0" w:color="auto"/>
              </w:divBdr>
            </w:div>
          </w:divsChild>
        </w:div>
        <w:div w:id="1926331484">
          <w:marLeft w:val="0"/>
          <w:marRight w:val="0"/>
          <w:marTop w:val="0"/>
          <w:marBottom w:val="0"/>
          <w:divBdr>
            <w:top w:val="none" w:sz="0" w:space="0" w:color="auto"/>
            <w:left w:val="none" w:sz="0" w:space="0" w:color="auto"/>
            <w:bottom w:val="none" w:sz="0" w:space="0" w:color="auto"/>
            <w:right w:val="none" w:sz="0" w:space="0" w:color="auto"/>
          </w:divBdr>
          <w:divsChild>
            <w:div w:id="94911512">
              <w:marLeft w:val="0"/>
              <w:marRight w:val="0"/>
              <w:marTop w:val="0"/>
              <w:marBottom w:val="0"/>
              <w:divBdr>
                <w:top w:val="none" w:sz="0" w:space="0" w:color="auto"/>
                <w:left w:val="none" w:sz="0" w:space="0" w:color="auto"/>
                <w:bottom w:val="none" w:sz="0" w:space="0" w:color="auto"/>
                <w:right w:val="none" w:sz="0" w:space="0" w:color="auto"/>
              </w:divBdr>
            </w:div>
          </w:divsChild>
        </w:div>
        <w:div w:id="1753505692">
          <w:marLeft w:val="0"/>
          <w:marRight w:val="0"/>
          <w:marTop w:val="0"/>
          <w:marBottom w:val="0"/>
          <w:divBdr>
            <w:top w:val="none" w:sz="0" w:space="0" w:color="auto"/>
            <w:left w:val="none" w:sz="0" w:space="0" w:color="auto"/>
            <w:bottom w:val="none" w:sz="0" w:space="0" w:color="auto"/>
            <w:right w:val="none" w:sz="0" w:space="0" w:color="auto"/>
          </w:divBdr>
          <w:divsChild>
            <w:div w:id="1542983086">
              <w:marLeft w:val="0"/>
              <w:marRight w:val="0"/>
              <w:marTop w:val="0"/>
              <w:marBottom w:val="0"/>
              <w:divBdr>
                <w:top w:val="none" w:sz="0" w:space="0" w:color="auto"/>
                <w:left w:val="none" w:sz="0" w:space="0" w:color="auto"/>
                <w:bottom w:val="none" w:sz="0" w:space="0" w:color="auto"/>
                <w:right w:val="none" w:sz="0" w:space="0" w:color="auto"/>
              </w:divBdr>
            </w:div>
          </w:divsChild>
        </w:div>
        <w:div w:id="1097605032">
          <w:marLeft w:val="0"/>
          <w:marRight w:val="0"/>
          <w:marTop w:val="0"/>
          <w:marBottom w:val="0"/>
          <w:divBdr>
            <w:top w:val="none" w:sz="0" w:space="0" w:color="auto"/>
            <w:left w:val="none" w:sz="0" w:space="0" w:color="auto"/>
            <w:bottom w:val="none" w:sz="0" w:space="0" w:color="auto"/>
            <w:right w:val="none" w:sz="0" w:space="0" w:color="auto"/>
          </w:divBdr>
          <w:divsChild>
            <w:div w:id="72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368">
      <w:bodyDiv w:val="1"/>
      <w:marLeft w:val="0"/>
      <w:marRight w:val="0"/>
      <w:marTop w:val="0"/>
      <w:marBottom w:val="0"/>
      <w:divBdr>
        <w:top w:val="none" w:sz="0" w:space="0" w:color="auto"/>
        <w:left w:val="none" w:sz="0" w:space="0" w:color="auto"/>
        <w:bottom w:val="none" w:sz="0" w:space="0" w:color="auto"/>
        <w:right w:val="none" w:sz="0" w:space="0" w:color="auto"/>
      </w:divBdr>
      <w:divsChild>
        <w:div w:id="1414736051">
          <w:marLeft w:val="0"/>
          <w:marRight w:val="0"/>
          <w:marTop w:val="0"/>
          <w:marBottom w:val="0"/>
          <w:divBdr>
            <w:top w:val="none" w:sz="0" w:space="0" w:color="auto"/>
            <w:left w:val="none" w:sz="0" w:space="0" w:color="auto"/>
            <w:bottom w:val="none" w:sz="0" w:space="0" w:color="auto"/>
            <w:right w:val="none" w:sz="0" w:space="0" w:color="auto"/>
          </w:divBdr>
          <w:divsChild>
            <w:div w:id="335689894">
              <w:marLeft w:val="0"/>
              <w:marRight w:val="0"/>
              <w:marTop w:val="0"/>
              <w:marBottom w:val="0"/>
              <w:divBdr>
                <w:top w:val="none" w:sz="0" w:space="0" w:color="auto"/>
                <w:left w:val="none" w:sz="0" w:space="0" w:color="auto"/>
                <w:bottom w:val="none" w:sz="0" w:space="0" w:color="auto"/>
                <w:right w:val="none" w:sz="0" w:space="0" w:color="auto"/>
              </w:divBdr>
            </w:div>
          </w:divsChild>
        </w:div>
        <w:div w:id="1285498742">
          <w:marLeft w:val="0"/>
          <w:marRight w:val="0"/>
          <w:marTop w:val="0"/>
          <w:marBottom w:val="0"/>
          <w:divBdr>
            <w:top w:val="none" w:sz="0" w:space="0" w:color="auto"/>
            <w:left w:val="none" w:sz="0" w:space="0" w:color="auto"/>
            <w:bottom w:val="none" w:sz="0" w:space="0" w:color="auto"/>
            <w:right w:val="none" w:sz="0" w:space="0" w:color="auto"/>
          </w:divBdr>
          <w:divsChild>
            <w:div w:id="1504857976">
              <w:marLeft w:val="0"/>
              <w:marRight w:val="0"/>
              <w:marTop w:val="0"/>
              <w:marBottom w:val="0"/>
              <w:divBdr>
                <w:top w:val="none" w:sz="0" w:space="0" w:color="auto"/>
                <w:left w:val="none" w:sz="0" w:space="0" w:color="auto"/>
                <w:bottom w:val="none" w:sz="0" w:space="0" w:color="auto"/>
                <w:right w:val="none" w:sz="0" w:space="0" w:color="auto"/>
              </w:divBdr>
            </w:div>
          </w:divsChild>
        </w:div>
        <w:div w:id="1270434898">
          <w:marLeft w:val="0"/>
          <w:marRight w:val="0"/>
          <w:marTop w:val="0"/>
          <w:marBottom w:val="0"/>
          <w:divBdr>
            <w:top w:val="none" w:sz="0" w:space="0" w:color="auto"/>
            <w:left w:val="none" w:sz="0" w:space="0" w:color="auto"/>
            <w:bottom w:val="none" w:sz="0" w:space="0" w:color="auto"/>
            <w:right w:val="none" w:sz="0" w:space="0" w:color="auto"/>
          </w:divBdr>
          <w:divsChild>
            <w:div w:id="182987100">
              <w:marLeft w:val="0"/>
              <w:marRight w:val="0"/>
              <w:marTop w:val="0"/>
              <w:marBottom w:val="0"/>
              <w:divBdr>
                <w:top w:val="none" w:sz="0" w:space="0" w:color="auto"/>
                <w:left w:val="none" w:sz="0" w:space="0" w:color="auto"/>
                <w:bottom w:val="none" w:sz="0" w:space="0" w:color="auto"/>
                <w:right w:val="none" w:sz="0" w:space="0" w:color="auto"/>
              </w:divBdr>
            </w:div>
          </w:divsChild>
        </w:div>
        <w:div w:id="1104231058">
          <w:marLeft w:val="0"/>
          <w:marRight w:val="0"/>
          <w:marTop w:val="0"/>
          <w:marBottom w:val="0"/>
          <w:divBdr>
            <w:top w:val="none" w:sz="0" w:space="0" w:color="auto"/>
            <w:left w:val="none" w:sz="0" w:space="0" w:color="auto"/>
            <w:bottom w:val="none" w:sz="0" w:space="0" w:color="auto"/>
            <w:right w:val="none" w:sz="0" w:space="0" w:color="auto"/>
          </w:divBdr>
          <w:divsChild>
            <w:div w:id="18395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Abedian, Mehrnaz</dc:creator>
  <cp:keywords/>
  <dc:description/>
  <cp:lastModifiedBy>Abedian, Mehrnaz</cp:lastModifiedBy>
  <cp:revision>2</cp:revision>
  <dcterms:created xsi:type="dcterms:W3CDTF">2025-07-16T23:00:00Z</dcterms:created>
  <dcterms:modified xsi:type="dcterms:W3CDTF">2025-07-18T20:45:00Z</dcterms:modified>
</cp:coreProperties>
</file>