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55584F" w14:textId="77777777" w:rsidR="00D70892" w:rsidRPr="00D70892" w:rsidRDefault="00D70892" w:rsidP="00456908">
      <w:pPr>
        <w:spacing w:after="100" w:line="259" w:lineRule="auto"/>
        <w:jc w:val="center"/>
        <w:rPr>
          <w:rFonts w:asciiTheme="majorBidi" w:hAnsiTheme="majorBidi" w:cstheme="majorBidi"/>
          <w:b/>
          <w:sz w:val="24"/>
          <w:szCs w:val="24"/>
        </w:rPr>
      </w:pPr>
    </w:p>
    <w:p w14:paraId="4A120E6B" w14:textId="77777777" w:rsidR="00D70892" w:rsidRPr="0079116C" w:rsidRDefault="00D70892" w:rsidP="00456908">
      <w:pPr>
        <w:spacing w:after="100" w:line="259" w:lineRule="auto"/>
        <w:jc w:val="center"/>
        <w:rPr>
          <w:rFonts w:asciiTheme="majorBidi" w:hAnsiTheme="majorBidi" w:cstheme="majorBidi"/>
          <w:b/>
          <w:sz w:val="32"/>
          <w:szCs w:val="32"/>
        </w:rPr>
      </w:pPr>
    </w:p>
    <w:p w14:paraId="003F9BFC" w14:textId="77777777" w:rsidR="0079116C" w:rsidRDefault="0079116C" w:rsidP="00456908">
      <w:pPr>
        <w:spacing w:after="100" w:line="259" w:lineRule="auto"/>
        <w:jc w:val="center"/>
        <w:rPr>
          <w:rFonts w:asciiTheme="majorBidi" w:hAnsiTheme="majorBidi" w:cstheme="majorBidi"/>
          <w:b/>
          <w:sz w:val="32"/>
          <w:szCs w:val="32"/>
        </w:rPr>
      </w:pPr>
    </w:p>
    <w:p w14:paraId="3701F41A" w14:textId="3C1156E6" w:rsidR="00456908" w:rsidRPr="0079116C" w:rsidRDefault="00456908" w:rsidP="00456908">
      <w:pPr>
        <w:spacing w:after="100" w:line="259" w:lineRule="auto"/>
        <w:jc w:val="center"/>
        <w:rPr>
          <w:rFonts w:asciiTheme="majorBidi" w:hAnsiTheme="majorBidi" w:cstheme="majorBidi"/>
          <w:b/>
          <w:sz w:val="32"/>
          <w:szCs w:val="32"/>
        </w:rPr>
      </w:pPr>
      <w:r w:rsidRPr="0079116C">
        <w:rPr>
          <w:rFonts w:asciiTheme="majorBidi" w:hAnsiTheme="majorBidi" w:cstheme="majorBidi"/>
          <w:b/>
          <w:sz w:val="32"/>
          <w:szCs w:val="32"/>
        </w:rPr>
        <w:t xml:space="preserve">“Next Generation sequencing for the </w:t>
      </w:r>
    </w:p>
    <w:p w14:paraId="18454F70" w14:textId="133FE783" w:rsidR="00456908" w:rsidRPr="0079116C" w:rsidRDefault="00456908" w:rsidP="00456908">
      <w:pPr>
        <w:spacing w:after="100" w:line="259" w:lineRule="auto"/>
        <w:jc w:val="center"/>
        <w:rPr>
          <w:rFonts w:asciiTheme="majorBidi" w:hAnsiTheme="majorBidi" w:cstheme="majorBidi"/>
          <w:b/>
          <w:sz w:val="32"/>
          <w:szCs w:val="32"/>
        </w:rPr>
      </w:pPr>
      <w:r w:rsidRPr="0079116C">
        <w:rPr>
          <w:rFonts w:asciiTheme="majorBidi" w:hAnsiTheme="majorBidi" w:cstheme="majorBidi"/>
          <w:b/>
          <w:sz w:val="32"/>
          <w:szCs w:val="32"/>
        </w:rPr>
        <w:t>Genetic Diagnosis of Intellectual Disability and</w:t>
      </w:r>
    </w:p>
    <w:p w14:paraId="298A21F4" w14:textId="4904E447" w:rsidR="0075670A" w:rsidRPr="0079116C" w:rsidRDefault="00456908" w:rsidP="00456908">
      <w:pPr>
        <w:spacing w:after="100" w:line="259" w:lineRule="auto"/>
        <w:jc w:val="center"/>
        <w:rPr>
          <w:rFonts w:asciiTheme="majorBidi" w:hAnsiTheme="majorBidi" w:cstheme="majorBidi"/>
          <w:b/>
          <w:sz w:val="32"/>
          <w:szCs w:val="32"/>
        </w:rPr>
      </w:pPr>
      <w:r w:rsidRPr="0079116C">
        <w:rPr>
          <w:rFonts w:asciiTheme="majorBidi" w:hAnsiTheme="majorBidi" w:cstheme="majorBidi"/>
          <w:b/>
          <w:sz w:val="32"/>
          <w:szCs w:val="32"/>
        </w:rPr>
        <w:t>Developmental Delay in a Consanguineous Family”</w:t>
      </w:r>
    </w:p>
    <w:p w14:paraId="2AA44796" w14:textId="77777777" w:rsidR="00D70892" w:rsidRPr="00D70892" w:rsidRDefault="00D70892">
      <w:pPr>
        <w:spacing w:after="100" w:line="259" w:lineRule="auto"/>
        <w:rPr>
          <w:rFonts w:asciiTheme="majorBidi" w:hAnsiTheme="majorBidi" w:cstheme="majorBidi"/>
          <w:sz w:val="24"/>
          <w:szCs w:val="24"/>
        </w:rPr>
      </w:pPr>
    </w:p>
    <w:p w14:paraId="482A31CF" w14:textId="77777777" w:rsidR="0079116C" w:rsidRDefault="0079116C">
      <w:pPr>
        <w:spacing w:after="100" w:line="259" w:lineRule="auto"/>
        <w:rPr>
          <w:rFonts w:asciiTheme="majorBidi" w:hAnsiTheme="majorBidi" w:cstheme="majorBidi"/>
          <w:sz w:val="24"/>
          <w:szCs w:val="24"/>
        </w:rPr>
      </w:pPr>
    </w:p>
    <w:p w14:paraId="047AFB15" w14:textId="234FD1A3" w:rsidR="0075670A" w:rsidRPr="00D70892" w:rsidRDefault="00000000">
      <w:pPr>
        <w:spacing w:after="100" w:line="259" w:lineRule="auto"/>
        <w:rPr>
          <w:rFonts w:asciiTheme="majorBidi" w:hAnsiTheme="majorBidi" w:cstheme="majorBidi"/>
          <w:sz w:val="24"/>
          <w:szCs w:val="24"/>
        </w:rPr>
      </w:pPr>
      <w:r w:rsidRPr="00D70892">
        <w:rPr>
          <w:rFonts w:asciiTheme="majorBidi" w:hAnsiTheme="majorBidi" w:cstheme="majorBidi"/>
          <w:sz w:val="24"/>
          <w:szCs w:val="24"/>
        </w:rPr>
        <w:br/>
      </w:r>
    </w:p>
    <w:tbl>
      <w:tblPr>
        <w:tblStyle w:val="TableGrid"/>
        <w:tblW w:w="0" w:type="auto"/>
        <w:jc w:val="center"/>
        <w:tblLook w:val="04A0" w:firstRow="1" w:lastRow="0" w:firstColumn="1" w:lastColumn="0" w:noHBand="0" w:noVBand="1"/>
      </w:tblPr>
      <w:tblGrid>
        <w:gridCol w:w="2570"/>
        <w:gridCol w:w="5125"/>
      </w:tblGrid>
      <w:tr w:rsidR="0075670A" w:rsidRPr="00D70892" w14:paraId="0FA9D809" w14:textId="77777777" w:rsidTr="0079116C">
        <w:trPr>
          <w:jc w:val="center"/>
        </w:trPr>
        <w:tc>
          <w:tcPr>
            <w:tcW w:w="2570" w:type="dxa"/>
            <w:tcMar>
              <w:top w:w="100" w:type="dxa"/>
              <w:left w:w="120" w:type="dxa"/>
              <w:bottom w:w="100" w:type="dxa"/>
              <w:right w:w="120" w:type="dxa"/>
            </w:tcMar>
          </w:tcPr>
          <w:p w14:paraId="7CFEF9CA" w14:textId="331FB19A" w:rsidR="0075670A" w:rsidRPr="0079116C" w:rsidRDefault="0079116C">
            <w:pPr>
              <w:rPr>
                <w:rFonts w:asciiTheme="majorBidi" w:hAnsiTheme="majorBidi" w:cstheme="majorBidi"/>
                <w:b/>
                <w:bCs/>
                <w:sz w:val="24"/>
                <w:szCs w:val="24"/>
              </w:rPr>
            </w:pPr>
            <w:r w:rsidRPr="0079116C">
              <w:rPr>
                <w:rFonts w:asciiTheme="majorBidi" w:hAnsiTheme="majorBidi" w:cstheme="majorBidi"/>
                <w:b/>
                <w:bCs/>
                <w:sz w:val="24"/>
                <w:szCs w:val="24"/>
              </w:rPr>
              <w:t>Analyzed by</w:t>
            </w:r>
          </w:p>
        </w:tc>
        <w:tc>
          <w:tcPr>
            <w:tcW w:w="5125" w:type="dxa"/>
            <w:tcMar>
              <w:top w:w="100" w:type="dxa"/>
              <w:left w:w="120" w:type="dxa"/>
              <w:bottom w:w="100" w:type="dxa"/>
              <w:right w:w="120" w:type="dxa"/>
            </w:tcMar>
          </w:tcPr>
          <w:p w14:paraId="5CC1BE2E" w14:textId="65BCD494" w:rsidR="0075670A" w:rsidRPr="00D70892" w:rsidRDefault="00D70892">
            <w:pPr>
              <w:rPr>
                <w:rFonts w:asciiTheme="majorBidi" w:hAnsiTheme="majorBidi" w:cstheme="majorBidi"/>
                <w:sz w:val="24"/>
                <w:szCs w:val="24"/>
              </w:rPr>
            </w:pPr>
            <w:r w:rsidRPr="00D70892">
              <w:rPr>
                <w:rFonts w:asciiTheme="majorBidi" w:hAnsiTheme="majorBidi" w:cstheme="majorBidi"/>
                <w:sz w:val="24"/>
                <w:szCs w:val="24"/>
              </w:rPr>
              <w:t>Mehrnaz Ohadi</w:t>
            </w:r>
          </w:p>
        </w:tc>
      </w:tr>
      <w:tr w:rsidR="008015DA" w:rsidRPr="00D70892" w14:paraId="603FD8AD" w14:textId="77777777" w:rsidTr="0079116C">
        <w:trPr>
          <w:jc w:val="center"/>
        </w:trPr>
        <w:tc>
          <w:tcPr>
            <w:tcW w:w="2570" w:type="dxa"/>
            <w:tcMar>
              <w:top w:w="100" w:type="dxa"/>
              <w:left w:w="120" w:type="dxa"/>
              <w:bottom w:w="100" w:type="dxa"/>
              <w:right w:w="120" w:type="dxa"/>
            </w:tcMar>
          </w:tcPr>
          <w:p w14:paraId="673E15C7" w14:textId="5DEA4C43" w:rsidR="008015DA" w:rsidRPr="008015DA" w:rsidRDefault="008015DA">
            <w:pPr>
              <w:rPr>
                <w:rFonts w:asciiTheme="majorBidi" w:hAnsiTheme="majorBidi" w:cstheme="majorBidi"/>
                <w:b/>
                <w:bCs/>
                <w:sz w:val="24"/>
                <w:szCs w:val="24"/>
              </w:rPr>
            </w:pPr>
            <w:r w:rsidRPr="008015DA">
              <w:rPr>
                <w:rFonts w:asciiTheme="majorBidi" w:hAnsiTheme="majorBidi" w:cstheme="majorBidi"/>
                <w:b/>
                <w:bCs/>
                <w:sz w:val="24"/>
                <w:szCs w:val="24"/>
              </w:rPr>
              <w:t>Affiliation</w:t>
            </w:r>
          </w:p>
        </w:tc>
        <w:tc>
          <w:tcPr>
            <w:tcW w:w="5125" w:type="dxa"/>
            <w:tcMar>
              <w:top w:w="100" w:type="dxa"/>
              <w:left w:w="120" w:type="dxa"/>
              <w:bottom w:w="100" w:type="dxa"/>
              <w:right w:w="120" w:type="dxa"/>
            </w:tcMar>
          </w:tcPr>
          <w:p w14:paraId="510CE614" w14:textId="77777777" w:rsidR="008015DA" w:rsidRPr="008015DA" w:rsidRDefault="008015DA" w:rsidP="008015DA">
            <w:pPr>
              <w:rPr>
                <w:rFonts w:asciiTheme="majorBidi" w:hAnsiTheme="majorBidi" w:cstheme="majorBidi"/>
                <w:sz w:val="24"/>
                <w:szCs w:val="24"/>
              </w:rPr>
            </w:pPr>
            <w:r w:rsidRPr="008015DA">
              <w:rPr>
                <w:rFonts w:asciiTheme="majorBidi" w:hAnsiTheme="majorBidi" w:cstheme="majorBidi"/>
                <w:sz w:val="24"/>
                <w:szCs w:val="24"/>
              </w:rPr>
              <w:t xml:space="preserve">Genomics Laboratory of Iran </w:t>
            </w:r>
            <w:r w:rsidRPr="008015DA">
              <w:rPr>
                <w:rFonts w:asciiTheme="majorBidi" w:hAnsiTheme="majorBidi" w:cstheme="majorBidi"/>
                <w:sz w:val="24"/>
                <w:szCs w:val="24"/>
                <w:u w:val="single"/>
              </w:rPr>
              <w:t>(</w:t>
            </w:r>
            <w:hyperlink r:id="rId8" w:history="1">
              <w:r w:rsidRPr="008015DA">
                <w:rPr>
                  <w:rStyle w:val="Hyperlink"/>
                  <w:rFonts w:asciiTheme="majorBidi" w:hAnsiTheme="majorBidi" w:cstheme="majorBidi"/>
                  <w:sz w:val="24"/>
                  <w:szCs w:val="24"/>
                </w:rPr>
                <w:t>https://www.genomicslaboratory.ir/</w:t>
              </w:r>
            </w:hyperlink>
            <w:r w:rsidRPr="008015DA">
              <w:rPr>
                <w:rFonts w:asciiTheme="majorBidi" w:hAnsiTheme="majorBidi" w:cstheme="majorBidi"/>
                <w:sz w:val="24"/>
                <w:szCs w:val="24"/>
                <w:u w:val="single"/>
              </w:rPr>
              <w:t xml:space="preserve">) </w:t>
            </w:r>
            <w:r w:rsidRPr="008015DA">
              <w:rPr>
                <w:rFonts w:asciiTheme="majorBidi" w:hAnsiTheme="majorBidi" w:cstheme="majorBidi"/>
                <w:sz w:val="24"/>
                <w:szCs w:val="24"/>
              </w:rPr>
              <w:t xml:space="preserve">&amp; </w:t>
            </w:r>
          </w:p>
          <w:p w14:paraId="53D65320" w14:textId="0B582EED" w:rsidR="008015DA" w:rsidRPr="008015DA" w:rsidRDefault="008015DA" w:rsidP="008015DA">
            <w:pPr>
              <w:rPr>
                <w:rFonts w:asciiTheme="majorBidi" w:hAnsiTheme="majorBidi" w:cstheme="majorBidi"/>
                <w:sz w:val="24"/>
                <w:szCs w:val="24"/>
                <w:u w:val="single"/>
              </w:rPr>
            </w:pPr>
            <w:r w:rsidRPr="008015DA">
              <w:rPr>
                <w:rFonts w:asciiTheme="majorBidi" w:hAnsiTheme="majorBidi" w:cstheme="majorBidi"/>
                <w:sz w:val="24"/>
                <w:szCs w:val="24"/>
              </w:rPr>
              <w:t>Helix, USA (</w:t>
            </w:r>
            <w:hyperlink r:id="rId9" w:tgtFrame="_blank" w:history="1">
              <w:r w:rsidRPr="008015DA">
                <w:rPr>
                  <w:rStyle w:val="Hyperlink"/>
                  <w:rFonts w:asciiTheme="majorBidi" w:hAnsiTheme="majorBidi" w:cstheme="majorBidi"/>
                  <w:sz w:val="24"/>
                  <w:szCs w:val="24"/>
                </w:rPr>
                <w:t>www.helix.com</w:t>
              </w:r>
            </w:hyperlink>
            <w:r w:rsidRPr="008015DA">
              <w:rPr>
                <w:rFonts w:asciiTheme="majorBidi" w:hAnsiTheme="majorBidi" w:cstheme="majorBidi"/>
                <w:sz w:val="24"/>
                <w:szCs w:val="24"/>
              </w:rPr>
              <w:t>)</w:t>
            </w:r>
          </w:p>
        </w:tc>
      </w:tr>
      <w:tr w:rsidR="0075670A" w:rsidRPr="00D70892" w14:paraId="5BDEEE9B" w14:textId="77777777" w:rsidTr="0079116C">
        <w:trPr>
          <w:jc w:val="center"/>
        </w:trPr>
        <w:tc>
          <w:tcPr>
            <w:tcW w:w="2570" w:type="dxa"/>
            <w:tcMar>
              <w:top w:w="100" w:type="dxa"/>
              <w:left w:w="120" w:type="dxa"/>
              <w:bottom w:w="100" w:type="dxa"/>
              <w:right w:w="120" w:type="dxa"/>
            </w:tcMar>
          </w:tcPr>
          <w:p w14:paraId="037D53C2" w14:textId="77777777" w:rsidR="0075670A" w:rsidRPr="00D70892" w:rsidRDefault="00000000">
            <w:pPr>
              <w:rPr>
                <w:rFonts w:asciiTheme="majorBidi" w:hAnsiTheme="majorBidi" w:cstheme="majorBidi"/>
                <w:sz w:val="24"/>
                <w:szCs w:val="24"/>
              </w:rPr>
            </w:pPr>
            <w:r w:rsidRPr="00D70892">
              <w:rPr>
                <w:rFonts w:asciiTheme="majorBidi" w:hAnsiTheme="majorBidi" w:cstheme="majorBidi"/>
                <w:b/>
                <w:sz w:val="24"/>
                <w:szCs w:val="24"/>
              </w:rPr>
              <w:t>Dataset</w:t>
            </w:r>
          </w:p>
        </w:tc>
        <w:tc>
          <w:tcPr>
            <w:tcW w:w="5125" w:type="dxa"/>
            <w:tcMar>
              <w:top w:w="100" w:type="dxa"/>
              <w:left w:w="120" w:type="dxa"/>
              <w:bottom w:w="100" w:type="dxa"/>
              <w:right w:w="120" w:type="dxa"/>
            </w:tcMar>
          </w:tcPr>
          <w:p w14:paraId="7A02E382"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Annotated WES variants (GRCh37/hg19)</w:t>
            </w:r>
          </w:p>
        </w:tc>
      </w:tr>
      <w:tr w:rsidR="0075670A" w:rsidRPr="00D70892" w14:paraId="1F63ED69" w14:textId="77777777" w:rsidTr="0079116C">
        <w:trPr>
          <w:jc w:val="center"/>
        </w:trPr>
        <w:tc>
          <w:tcPr>
            <w:tcW w:w="2570" w:type="dxa"/>
            <w:tcMar>
              <w:top w:w="100" w:type="dxa"/>
              <w:left w:w="120" w:type="dxa"/>
              <w:bottom w:w="100" w:type="dxa"/>
              <w:right w:w="120" w:type="dxa"/>
            </w:tcMar>
          </w:tcPr>
          <w:p w14:paraId="12749E3B" w14:textId="77777777" w:rsidR="0075670A" w:rsidRPr="00D70892" w:rsidRDefault="00000000">
            <w:pPr>
              <w:rPr>
                <w:rFonts w:asciiTheme="majorBidi" w:hAnsiTheme="majorBidi" w:cstheme="majorBidi"/>
                <w:sz w:val="24"/>
                <w:szCs w:val="24"/>
              </w:rPr>
            </w:pPr>
            <w:r w:rsidRPr="00D70892">
              <w:rPr>
                <w:rFonts w:asciiTheme="majorBidi" w:hAnsiTheme="majorBidi" w:cstheme="majorBidi"/>
                <w:b/>
                <w:sz w:val="24"/>
                <w:szCs w:val="24"/>
              </w:rPr>
              <w:t>Date</w:t>
            </w:r>
          </w:p>
        </w:tc>
        <w:tc>
          <w:tcPr>
            <w:tcW w:w="5125" w:type="dxa"/>
            <w:tcMar>
              <w:top w:w="100" w:type="dxa"/>
              <w:left w:w="120" w:type="dxa"/>
              <w:bottom w:w="100" w:type="dxa"/>
              <w:right w:w="120" w:type="dxa"/>
            </w:tcMar>
          </w:tcPr>
          <w:p w14:paraId="1EE702D2"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25 August 2026</w:t>
            </w:r>
          </w:p>
        </w:tc>
      </w:tr>
    </w:tbl>
    <w:p w14:paraId="579794AF" w14:textId="77777777" w:rsidR="0075670A" w:rsidRPr="00D70892" w:rsidRDefault="00000000">
      <w:pPr>
        <w:spacing w:after="100" w:line="259" w:lineRule="auto"/>
        <w:rPr>
          <w:rFonts w:asciiTheme="majorBidi" w:hAnsiTheme="majorBidi" w:cstheme="majorBidi"/>
          <w:sz w:val="24"/>
          <w:szCs w:val="24"/>
        </w:rPr>
      </w:pPr>
      <w:r w:rsidRPr="00D70892">
        <w:rPr>
          <w:rFonts w:asciiTheme="majorBidi" w:hAnsiTheme="majorBidi" w:cstheme="majorBidi"/>
          <w:sz w:val="24"/>
          <w:szCs w:val="24"/>
        </w:rPr>
        <w:br/>
      </w:r>
    </w:p>
    <w:p w14:paraId="5F95CD1C" w14:textId="77777777" w:rsidR="0075670A" w:rsidRPr="00D70892" w:rsidRDefault="00000000">
      <w:pPr>
        <w:spacing w:after="100" w:line="259" w:lineRule="auto"/>
        <w:rPr>
          <w:rFonts w:asciiTheme="majorBidi" w:hAnsiTheme="majorBidi" w:cstheme="majorBidi"/>
          <w:sz w:val="24"/>
          <w:szCs w:val="24"/>
        </w:rPr>
      </w:pPr>
      <w:r w:rsidRPr="00D70892">
        <w:rPr>
          <w:rFonts w:asciiTheme="majorBidi" w:hAnsiTheme="majorBidi" w:cstheme="majorBidi"/>
          <w:sz w:val="24"/>
          <w:szCs w:val="24"/>
        </w:rPr>
        <w:br w:type="page"/>
      </w:r>
    </w:p>
    <w:p w14:paraId="10EA8F5B" w14:textId="3DE872B3" w:rsidR="0075670A" w:rsidRPr="00D70892" w:rsidRDefault="00676347">
      <w:pPr>
        <w:pStyle w:val="Heading1"/>
        <w:spacing w:after="100" w:line="259" w:lineRule="auto"/>
        <w:rPr>
          <w:rFonts w:asciiTheme="majorBidi" w:hAnsiTheme="majorBidi"/>
          <w:sz w:val="24"/>
          <w:szCs w:val="24"/>
        </w:rPr>
      </w:pPr>
      <w:r>
        <w:rPr>
          <w:rFonts w:asciiTheme="majorBidi" w:hAnsiTheme="majorBidi"/>
          <w:sz w:val="24"/>
          <w:szCs w:val="24"/>
        </w:rPr>
        <w:lastRenderedPageBreak/>
        <w:t>Summary</w:t>
      </w:r>
    </w:p>
    <w:p w14:paraId="118A43EB" w14:textId="41F07709" w:rsidR="0075670A" w:rsidRPr="00D70892" w:rsidRDefault="00000000" w:rsidP="00D70892">
      <w:pPr>
        <w:spacing w:after="100"/>
        <w:jc w:val="both"/>
        <w:rPr>
          <w:rFonts w:asciiTheme="majorBidi" w:hAnsiTheme="majorBidi" w:cstheme="majorBidi"/>
          <w:sz w:val="24"/>
          <w:szCs w:val="24"/>
        </w:rPr>
      </w:pPr>
      <w:r w:rsidRPr="00D70892">
        <w:rPr>
          <w:rFonts w:asciiTheme="majorBidi" w:hAnsiTheme="majorBidi" w:cstheme="majorBidi"/>
          <w:sz w:val="24"/>
          <w:szCs w:val="24"/>
        </w:rPr>
        <w:t>Whole-exome sequencing (WES) produces a large number of variants that require systematic filtering and interpretation to identify plausible disease-associated candidates. An annotated WES dataset containing 386,518 variants was filtered by functional region, predicted consequence, population frequency, genotype/inheritance, and variant-call quality. Surviving variants were evaluated using computational prediction scores, ClinVar annotations, gene–disease evidence, and phenotype concordance. The analysis reduced the dataset to 71 working variants, of which 54 were PASS calls. Four genes were prioritized: YY1AP1, PUS10, DOCK11, and SLC6A6</w:t>
      </w:r>
      <w:r w:rsidR="00D70892">
        <w:rPr>
          <w:rFonts w:asciiTheme="majorBidi" w:hAnsiTheme="majorBidi" w:cstheme="majorBidi"/>
          <w:sz w:val="24"/>
          <w:szCs w:val="24"/>
        </w:rPr>
        <w:t xml:space="preserve"> out of which, </w:t>
      </w:r>
      <w:r w:rsidRPr="00D70892">
        <w:rPr>
          <w:rFonts w:asciiTheme="majorBidi" w:hAnsiTheme="majorBidi" w:cstheme="majorBidi"/>
          <w:sz w:val="24"/>
          <w:szCs w:val="24"/>
        </w:rPr>
        <w:t xml:space="preserve">YY1AP1 was the strongest overall clinical candidate; PUS10 carried the strongest research-level splice candidate; DOCK11 had strong variant-level evidence but weaker phenotype concordance; and SLC6A6 primarily matched the retinal phenotype. </w:t>
      </w:r>
      <w:r w:rsidR="00D70892">
        <w:rPr>
          <w:rFonts w:asciiTheme="majorBidi" w:hAnsiTheme="majorBidi" w:cstheme="majorBidi"/>
          <w:sz w:val="24"/>
          <w:szCs w:val="24"/>
        </w:rPr>
        <w:t xml:space="preserve">In </w:t>
      </w:r>
      <w:r w:rsidR="00D70892">
        <w:rPr>
          <w:rFonts w:asciiTheme="majorBidi" w:hAnsiTheme="majorBidi" w:cstheme="majorBidi"/>
          <w:bCs/>
          <w:sz w:val="24"/>
          <w:szCs w:val="24"/>
        </w:rPr>
        <w:t>c</w:t>
      </w:r>
      <w:r w:rsidRPr="00D70892">
        <w:rPr>
          <w:rFonts w:asciiTheme="majorBidi" w:hAnsiTheme="majorBidi" w:cstheme="majorBidi"/>
          <w:bCs/>
          <w:sz w:val="24"/>
          <w:szCs w:val="24"/>
        </w:rPr>
        <w:t>onclusion</w:t>
      </w:r>
      <w:r w:rsidR="00D70892">
        <w:rPr>
          <w:rFonts w:asciiTheme="majorBidi" w:hAnsiTheme="majorBidi" w:cstheme="majorBidi"/>
          <w:b/>
          <w:sz w:val="24"/>
          <w:szCs w:val="24"/>
        </w:rPr>
        <w:t xml:space="preserve">, </w:t>
      </w:r>
      <w:r w:rsidR="00D70892" w:rsidRPr="00D70892">
        <w:rPr>
          <w:rFonts w:asciiTheme="majorBidi" w:hAnsiTheme="majorBidi" w:cstheme="majorBidi"/>
          <w:bCs/>
          <w:sz w:val="24"/>
          <w:szCs w:val="24"/>
        </w:rPr>
        <w:t>n</w:t>
      </w:r>
      <w:r w:rsidRPr="00D70892">
        <w:rPr>
          <w:rFonts w:asciiTheme="majorBidi" w:hAnsiTheme="majorBidi" w:cstheme="majorBidi"/>
          <w:bCs/>
          <w:sz w:val="24"/>
          <w:szCs w:val="24"/>
        </w:rPr>
        <w:t>o</w:t>
      </w:r>
      <w:r w:rsidRPr="00D70892">
        <w:rPr>
          <w:rFonts w:asciiTheme="majorBidi" w:hAnsiTheme="majorBidi" w:cstheme="majorBidi"/>
          <w:sz w:val="24"/>
          <w:szCs w:val="24"/>
        </w:rPr>
        <w:t xml:space="preserve"> definitive causal variant could be established from the supplied data alone. The project demonstrates an evidence-based workflow for WES variant prioritization and highlights the importance of integrating variant-level evidence with gene–disease validity and phenotype fit.</w:t>
      </w:r>
    </w:p>
    <w:p w14:paraId="005C4825" w14:textId="77777777" w:rsidR="0075670A" w:rsidRPr="00D70892" w:rsidRDefault="00000000">
      <w:pPr>
        <w:pStyle w:val="Heading1"/>
        <w:spacing w:after="100" w:line="259" w:lineRule="auto"/>
        <w:rPr>
          <w:rFonts w:asciiTheme="majorBidi" w:hAnsiTheme="majorBidi"/>
          <w:sz w:val="24"/>
          <w:szCs w:val="24"/>
        </w:rPr>
      </w:pPr>
      <w:r w:rsidRPr="00D70892">
        <w:rPr>
          <w:rFonts w:asciiTheme="majorBidi" w:hAnsiTheme="majorBidi"/>
          <w:sz w:val="24"/>
          <w:szCs w:val="24"/>
        </w:rPr>
        <w:t>1. Clinical and Pedigree Context</w:t>
      </w:r>
    </w:p>
    <w:p w14:paraId="6F4868A3" w14:textId="75576FDF"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The case describes a consanguineous family with two affected individuals and no reported prior family history of the disorder. Both affected individuals showed developmental delay. Additional reported features included visual impairment and poorly intelligible speech; cleft palate was reported in individual V:1. At examination, V:1 was 32 years old with a head circumference of 51 cm (-2.77 SD), and V:4 was 30 years old with a head circumference of 50 cm (-4.07 SD). The family also included an unaffected son and an unaffected grandchild.</w:t>
      </w:r>
    </w:p>
    <w:p w14:paraId="47E33412" w14:textId="77777777"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The combination of consanguinity and multiple affected siblings made an autosomal-recessive model a major prioritization hypothesis. However, X-linked and phenotype-specific candidates were not automatically excluded during later interpretation.</w:t>
      </w:r>
    </w:p>
    <w:p w14:paraId="72516C2E" w14:textId="77777777" w:rsidR="0075670A" w:rsidRPr="00D70892" w:rsidRDefault="00000000">
      <w:pPr>
        <w:pStyle w:val="Heading1"/>
        <w:spacing w:after="100" w:line="259" w:lineRule="auto"/>
        <w:rPr>
          <w:rFonts w:asciiTheme="majorBidi" w:hAnsiTheme="majorBidi"/>
          <w:sz w:val="24"/>
          <w:szCs w:val="24"/>
        </w:rPr>
      </w:pPr>
      <w:r w:rsidRPr="00D70892">
        <w:rPr>
          <w:rFonts w:asciiTheme="majorBidi" w:hAnsiTheme="majorBidi"/>
          <w:sz w:val="24"/>
          <w:szCs w:val="24"/>
        </w:rPr>
        <w:t>2. Introduction</w:t>
      </w:r>
    </w:p>
    <w:p w14:paraId="38B01227" w14:textId="77777777"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Next-generation sequencing, particularly WES, enables simultaneous analysis of most protein-coding regions of the genome. Because each exome contains many sequence variants, a reproducible filtering strategy is needed to reduce common or low-priority variants and retain variants with plausible functional and disease relevance.</w:t>
      </w:r>
    </w:p>
    <w:p w14:paraId="55B53C28" w14:textId="77777777"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 xml:space="preserve">Variant interpretation should integrate multiple evidence types rather than relying on a single pathogenicity score. The ACMG/AMP framework emphasizes population data, computational evidence, functional evidence, segregation, and other evidence categories, and uses the terms pathogenic, likely pathogenic, uncertain significance, likely benign, and benign for Mendelian variant </w:t>
      </w:r>
      <w:r w:rsidRPr="0079116C">
        <w:rPr>
          <w:rFonts w:asciiTheme="majorBidi" w:hAnsiTheme="majorBidi" w:cstheme="majorBidi"/>
          <w:sz w:val="24"/>
          <w:szCs w:val="24"/>
        </w:rPr>
        <w:t>classification [1].</w:t>
      </w:r>
    </w:p>
    <w:p w14:paraId="24D1AA24" w14:textId="77777777" w:rsidR="0075670A" w:rsidRPr="00D70892" w:rsidRDefault="00000000" w:rsidP="00676347">
      <w:pPr>
        <w:pStyle w:val="Heading1"/>
        <w:spacing w:after="100" w:line="259" w:lineRule="auto"/>
        <w:jc w:val="both"/>
        <w:rPr>
          <w:rFonts w:asciiTheme="majorBidi" w:hAnsiTheme="majorBidi"/>
          <w:sz w:val="24"/>
          <w:szCs w:val="24"/>
        </w:rPr>
      </w:pPr>
      <w:r w:rsidRPr="00D70892">
        <w:rPr>
          <w:rFonts w:asciiTheme="majorBidi" w:hAnsiTheme="majorBidi"/>
          <w:sz w:val="24"/>
          <w:szCs w:val="24"/>
        </w:rPr>
        <w:t>3. Objective</w:t>
      </w:r>
    </w:p>
    <w:p w14:paraId="1A78F83A" w14:textId="73EB01F3"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 xml:space="preserve">The objective of this project was to analyze the supplied annotated WES dataset and prioritize candidate variants potentially related to the phenotype and inheritance pattern of the case. The analysis was restricted to the supplied data and public databases; </w:t>
      </w:r>
      <w:r w:rsidR="00676347">
        <w:rPr>
          <w:rFonts w:asciiTheme="majorBidi" w:hAnsiTheme="majorBidi" w:cstheme="majorBidi"/>
          <w:sz w:val="24"/>
          <w:szCs w:val="24"/>
        </w:rPr>
        <w:t xml:space="preserve">pedigree info, </w:t>
      </w:r>
      <w:r w:rsidRPr="00D70892">
        <w:rPr>
          <w:rFonts w:asciiTheme="majorBidi" w:hAnsiTheme="majorBidi" w:cstheme="majorBidi"/>
          <w:sz w:val="24"/>
          <w:szCs w:val="24"/>
        </w:rPr>
        <w:t>raw read files and family segregation data were not available.</w:t>
      </w:r>
    </w:p>
    <w:p w14:paraId="2DD7980C" w14:textId="69DFC080" w:rsidR="0075670A" w:rsidRPr="00D70892" w:rsidRDefault="00000000">
      <w:pPr>
        <w:pStyle w:val="Heading1"/>
        <w:spacing w:after="100" w:line="259" w:lineRule="auto"/>
        <w:rPr>
          <w:rFonts w:asciiTheme="majorBidi" w:hAnsiTheme="majorBidi"/>
          <w:sz w:val="24"/>
          <w:szCs w:val="24"/>
        </w:rPr>
      </w:pPr>
      <w:r w:rsidRPr="00D70892">
        <w:rPr>
          <w:rFonts w:asciiTheme="majorBidi" w:hAnsiTheme="majorBidi"/>
          <w:sz w:val="24"/>
          <w:szCs w:val="24"/>
        </w:rPr>
        <w:lastRenderedPageBreak/>
        <w:t>4. Methods</w:t>
      </w:r>
    </w:p>
    <w:p w14:paraId="42F0C912" w14:textId="77777777" w:rsidR="0075670A" w:rsidRPr="00D70892" w:rsidRDefault="00000000">
      <w:pPr>
        <w:pStyle w:val="Heading2"/>
        <w:spacing w:after="100" w:line="259" w:lineRule="auto"/>
        <w:rPr>
          <w:rFonts w:asciiTheme="majorBidi" w:hAnsiTheme="majorBidi"/>
          <w:sz w:val="24"/>
          <w:szCs w:val="24"/>
        </w:rPr>
      </w:pPr>
      <w:r w:rsidRPr="00D70892">
        <w:rPr>
          <w:rFonts w:asciiTheme="majorBidi" w:hAnsiTheme="majorBidi"/>
          <w:sz w:val="24"/>
          <w:szCs w:val="24"/>
        </w:rPr>
        <w:t>4.1 Dataset and annotation fields</w:t>
      </w:r>
    </w:p>
    <w:p w14:paraId="2A5E80AC" w14:textId="77777777"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The starting annotated dataset contained 386,518 variants aligned/annotated to GRCh37/hg19. Available fields included chromosome and genomic position, reference and alternate alleles, functional region, gene, exonic consequence, transcript-level cDNA/protein annotation, population-frequency fields, computational prediction scores, dbSNP/ClinVar annotations, VCF quality fields, and the sample genotype field (GT:</w:t>
      </w:r>
      <w:proofErr w:type="gramStart"/>
      <w:r w:rsidRPr="00D70892">
        <w:rPr>
          <w:rFonts w:asciiTheme="majorBidi" w:hAnsiTheme="majorBidi" w:cstheme="majorBidi"/>
          <w:sz w:val="24"/>
          <w:szCs w:val="24"/>
        </w:rPr>
        <w:t>AD:DP</w:t>
      </w:r>
      <w:proofErr w:type="gramEnd"/>
      <w:r w:rsidRPr="00D70892">
        <w:rPr>
          <w:rFonts w:asciiTheme="majorBidi" w:hAnsiTheme="majorBidi" w:cstheme="majorBidi"/>
          <w:sz w:val="24"/>
          <w:szCs w:val="24"/>
        </w:rPr>
        <w:t>:GQ:PL).</w:t>
      </w:r>
    </w:p>
    <w:p w14:paraId="067B04C1" w14:textId="77777777" w:rsidR="0075670A" w:rsidRPr="00D70892" w:rsidRDefault="00000000">
      <w:pPr>
        <w:pStyle w:val="Heading2"/>
        <w:spacing w:after="100" w:line="259" w:lineRule="auto"/>
        <w:rPr>
          <w:rFonts w:asciiTheme="majorBidi" w:hAnsiTheme="majorBidi"/>
          <w:sz w:val="24"/>
          <w:szCs w:val="24"/>
        </w:rPr>
      </w:pPr>
      <w:r w:rsidRPr="00D70892">
        <w:rPr>
          <w:rFonts w:asciiTheme="majorBidi" w:hAnsiTheme="majorBidi"/>
          <w:sz w:val="24"/>
          <w:szCs w:val="24"/>
        </w:rPr>
        <w:t>4.2 Stepwise filtering strategy</w:t>
      </w:r>
    </w:p>
    <w:p w14:paraId="3872116B" w14:textId="77777777"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b/>
          <w:sz w:val="24"/>
          <w:szCs w:val="24"/>
        </w:rPr>
        <w:t xml:space="preserve">1. Functional-region filtering. </w:t>
      </w:r>
      <w:r w:rsidRPr="00D70892">
        <w:rPr>
          <w:rFonts w:asciiTheme="majorBidi" w:hAnsiTheme="majorBidi" w:cstheme="majorBidi"/>
          <w:sz w:val="24"/>
          <w:szCs w:val="24"/>
        </w:rPr>
        <w:t>Variants in potentially relevant functional regions were retained, reducing 386,518 variants to 24,601.</w:t>
      </w:r>
    </w:p>
    <w:p w14:paraId="0B12FD48" w14:textId="77777777"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b/>
          <w:sz w:val="24"/>
          <w:szCs w:val="24"/>
        </w:rPr>
        <w:t xml:space="preserve">2. Variant-consequence filtering. </w:t>
      </w:r>
      <w:r w:rsidRPr="00D70892">
        <w:rPr>
          <w:rFonts w:asciiTheme="majorBidi" w:hAnsiTheme="majorBidi" w:cstheme="majorBidi"/>
          <w:sz w:val="24"/>
          <w:szCs w:val="24"/>
        </w:rPr>
        <w:t>Protein-altering and potentially relevant consequences were prioritized, including frameshift, nonframeshift, nonsynonymous, stopgain/stoploss, splice, and selected unknown annotations. This reduced the dataset to 12,734 variants.</w:t>
      </w:r>
    </w:p>
    <w:p w14:paraId="728B6A9A" w14:textId="77777777"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b/>
          <w:sz w:val="24"/>
          <w:szCs w:val="24"/>
        </w:rPr>
        <w:t xml:space="preserve">3. Population-frequency filtering. </w:t>
      </w:r>
      <w:r w:rsidRPr="00D70892">
        <w:rPr>
          <w:rFonts w:asciiTheme="majorBidi" w:hAnsiTheme="majorBidi" w:cstheme="majorBidi"/>
          <w:sz w:val="24"/>
          <w:szCs w:val="24"/>
        </w:rPr>
        <w:t>Rare or unreported variants were retained. The practical spreadsheet criterion used for population fields was allele frequency &lt;0.01 OR a missing value represented by “.”. Missing frequency was therefore not treated as evidence that a variant was common.</w:t>
      </w:r>
    </w:p>
    <w:p w14:paraId="69857FAB" w14:textId="77777777"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b/>
          <w:sz w:val="24"/>
          <w:szCs w:val="24"/>
        </w:rPr>
        <w:t xml:space="preserve">4. Inheritance/genotype prioritization. </w:t>
      </w:r>
      <w:r w:rsidRPr="00D70892">
        <w:rPr>
          <w:rFonts w:asciiTheme="majorBidi" w:hAnsiTheme="majorBidi" w:cstheme="majorBidi"/>
          <w:sz w:val="24"/>
          <w:szCs w:val="24"/>
        </w:rPr>
        <w:t>Because the pedigree strongly suggested recessive inheritance, homozygous alternate calls (1/1) received priority. Combined rarity, genotype, and subsequent prioritization produced a 71-variant working set.</w:t>
      </w:r>
    </w:p>
    <w:p w14:paraId="417FA859" w14:textId="77777777"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b/>
          <w:sz w:val="24"/>
          <w:szCs w:val="24"/>
        </w:rPr>
        <w:t xml:space="preserve">5. Variant-call quality. </w:t>
      </w:r>
      <w:r w:rsidRPr="00D70892">
        <w:rPr>
          <w:rFonts w:asciiTheme="majorBidi" w:hAnsiTheme="majorBidi" w:cstheme="majorBidi"/>
          <w:sz w:val="24"/>
          <w:szCs w:val="24"/>
        </w:rPr>
        <w:t>The FILTER field included PASS, LowQual, my_snp_filter, and combinations of caller filters. PASS calls were retained for the principal high-confidence set, reducing 71 variants to 54. The excluded calls were later reviewed to check that no clearly superior candidate had been lost.</w:t>
      </w:r>
    </w:p>
    <w:p w14:paraId="596A4761" w14:textId="77777777"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b/>
          <w:sz w:val="24"/>
          <w:szCs w:val="24"/>
        </w:rPr>
        <w:t xml:space="preserve">6. Candidate interpretation. </w:t>
      </w:r>
      <w:r w:rsidRPr="00D70892">
        <w:rPr>
          <w:rFonts w:asciiTheme="majorBidi" w:hAnsiTheme="majorBidi" w:cstheme="majorBidi"/>
          <w:sz w:val="24"/>
          <w:szCs w:val="24"/>
        </w:rPr>
        <w:t>The remaining variants were evaluated using population rarity, predicted molecular consequence, DP/GQ and other call metrics, in-silico prediction scores, ClinVar status, gene–disease validity, inheritance, and phenotype concordance.</w:t>
      </w:r>
    </w:p>
    <w:p w14:paraId="5D414767" w14:textId="77777777" w:rsidR="0075670A" w:rsidRPr="00D70892" w:rsidRDefault="00000000">
      <w:pPr>
        <w:spacing w:after="100" w:line="259" w:lineRule="auto"/>
        <w:jc w:val="center"/>
        <w:rPr>
          <w:rFonts w:asciiTheme="majorBidi" w:hAnsiTheme="majorBidi" w:cstheme="majorBidi"/>
          <w:sz w:val="24"/>
          <w:szCs w:val="24"/>
        </w:rPr>
      </w:pPr>
      <w:r w:rsidRPr="00D70892">
        <w:rPr>
          <w:rFonts w:asciiTheme="majorBidi" w:hAnsiTheme="majorBidi" w:cstheme="majorBidi"/>
          <w:noProof/>
          <w:sz w:val="24"/>
          <w:szCs w:val="24"/>
        </w:rPr>
        <w:lastRenderedPageBreak/>
        <w:drawing>
          <wp:inline distT="0" distB="0" distL="0" distR="0" wp14:anchorId="2E41753C" wp14:editId="203B4CCD">
            <wp:extent cx="4114800" cy="49886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s_filtering_workflow.png"/>
                    <pic:cNvPicPr/>
                  </pic:nvPicPr>
                  <pic:blipFill>
                    <a:blip r:embed="rId10"/>
                    <a:stretch>
                      <a:fillRect/>
                    </a:stretch>
                  </pic:blipFill>
                  <pic:spPr>
                    <a:xfrm>
                      <a:off x="0" y="0"/>
                      <a:ext cx="4114800" cy="4988658"/>
                    </a:xfrm>
                    <a:prstGeom prst="rect">
                      <a:avLst/>
                    </a:prstGeom>
                  </pic:spPr>
                </pic:pic>
              </a:graphicData>
            </a:graphic>
          </wp:inline>
        </w:drawing>
      </w:r>
    </w:p>
    <w:p w14:paraId="2C5D1B3A" w14:textId="77777777" w:rsidR="0075670A" w:rsidRDefault="00000000">
      <w:pPr>
        <w:spacing w:after="100" w:line="259" w:lineRule="auto"/>
        <w:jc w:val="center"/>
        <w:rPr>
          <w:rFonts w:asciiTheme="majorBidi" w:hAnsiTheme="majorBidi" w:cstheme="majorBidi"/>
          <w:i/>
          <w:sz w:val="24"/>
          <w:szCs w:val="24"/>
        </w:rPr>
      </w:pPr>
      <w:r w:rsidRPr="00D70892">
        <w:rPr>
          <w:rFonts w:asciiTheme="majorBidi" w:hAnsiTheme="majorBidi" w:cstheme="majorBidi"/>
          <w:i/>
          <w:sz w:val="24"/>
          <w:szCs w:val="24"/>
        </w:rPr>
        <w:t>Figure 1. Stepwise filtering workflow used in the project. Intermediate spreadsheet counts generated while testing/correcting filters were not treated as independent biological filtering stages.</w:t>
      </w:r>
    </w:p>
    <w:p w14:paraId="6D66691E" w14:textId="77777777" w:rsidR="00676347" w:rsidRPr="00D70892" w:rsidRDefault="00676347">
      <w:pPr>
        <w:spacing w:after="100" w:line="259" w:lineRule="auto"/>
        <w:jc w:val="center"/>
        <w:rPr>
          <w:rFonts w:asciiTheme="majorBidi" w:hAnsiTheme="majorBidi" w:cstheme="majorBidi"/>
          <w:sz w:val="24"/>
          <w:szCs w:val="24"/>
        </w:rPr>
      </w:pPr>
    </w:p>
    <w:p w14:paraId="0AEA4DA0" w14:textId="77777777" w:rsidR="0075670A" w:rsidRPr="00D70892" w:rsidRDefault="00000000">
      <w:pPr>
        <w:pStyle w:val="Heading2"/>
        <w:spacing w:after="100" w:line="259" w:lineRule="auto"/>
        <w:rPr>
          <w:rFonts w:asciiTheme="majorBidi" w:hAnsiTheme="majorBidi"/>
          <w:sz w:val="24"/>
          <w:szCs w:val="24"/>
        </w:rPr>
      </w:pPr>
      <w:r w:rsidRPr="00D70892">
        <w:rPr>
          <w:rFonts w:asciiTheme="majorBidi" w:hAnsiTheme="majorBidi"/>
          <w:sz w:val="24"/>
          <w:szCs w:val="24"/>
        </w:rPr>
        <w:t>4.3 Interpretation principles</w:t>
      </w:r>
    </w:p>
    <w:p w14:paraId="59B0A686" w14:textId="77777777" w:rsidR="0075670A" w:rsidRPr="00D70892" w:rsidRDefault="00000000" w:rsidP="00676347">
      <w:pPr>
        <w:pStyle w:val="ListBullet"/>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Population rarity: variants with low reported allele frequency or no reported frequency were prioritized.</w:t>
      </w:r>
    </w:p>
    <w:p w14:paraId="68F153BF" w14:textId="77777777" w:rsidR="0075670A" w:rsidRPr="00D70892" w:rsidRDefault="00000000" w:rsidP="00676347">
      <w:pPr>
        <w:pStyle w:val="ListBullet"/>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Functional consequence: canonical splice, frameshift, stop, and damaging missense/in-frame changes were reviewed, while recognizing that predicted severity alone does not establish disease causality.</w:t>
      </w:r>
    </w:p>
    <w:p w14:paraId="0D26A3E7" w14:textId="77777777" w:rsidR="0075670A" w:rsidRPr="00D70892" w:rsidRDefault="00000000" w:rsidP="00676347">
      <w:pPr>
        <w:pStyle w:val="ListBullet"/>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Computational evidence: SIFT, PolyPhen-2, PROVEAN, CADD, MutationTaster, splice-prediction scores, and other available annotations were treated as supporting evidence only.</w:t>
      </w:r>
    </w:p>
    <w:p w14:paraId="1E6A7C68" w14:textId="77777777" w:rsidR="0075670A" w:rsidRPr="00D70892" w:rsidRDefault="00000000" w:rsidP="00676347">
      <w:pPr>
        <w:pStyle w:val="ListBullet"/>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Clinical databases and literature: ClinVar, NCBI/OMIM-linked information, and primary literature were used to assess exact-variant evidence and gene–disease relationships.</w:t>
      </w:r>
    </w:p>
    <w:p w14:paraId="7633710D" w14:textId="77777777" w:rsidR="0075670A" w:rsidRPr="00D70892" w:rsidRDefault="00000000" w:rsidP="00676347">
      <w:pPr>
        <w:pStyle w:val="ListBullet"/>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Phenotype concordance: known manifestations of each gene-associated disorder were compared with the course phenotype.</w:t>
      </w:r>
    </w:p>
    <w:p w14:paraId="2E8506AB" w14:textId="77777777" w:rsidR="0075670A" w:rsidRPr="00D70892" w:rsidRDefault="00000000">
      <w:pPr>
        <w:pStyle w:val="Heading1"/>
        <w:spacing w:after="100" w:line="259" w:lineRule="auto"/>
        <w:rPr>
          <w:rFonts w:asciiTheme="majorBidi" w:hAnsiTheme="majorBidi"/>
          <w:sz w:val="24"/>
          <w:szCs w:val="24"/>
        </w:rPr>
      </w:pPr>
      <w:r w:rsidRPr="00D70892">
        <w:rPr>
          <w:rFonts w:asciiTheme="majorBidi" w:hAnsiTheme="majorBidi"/>
          <w:sz w:val="24"/>
          <w:szCs w:val="24"/>
        </w:rPr>
        <w:lastRenderedPageBreak/>
        <w:t>5. Results</w:t>
      </w:r>
    </w:p>
    <w:p w14:paraId="405DAD35" w14:textId="77777777" w:rsidR="0075670A" w:rsidRPr="00D70892" w:rsidRDefault="00000000">
      <w:pPr>
        <w:pStyle w:val="Heading2"/>
        <w:spacing w:after="100" w:line="259" w:lineRule="auto"/>
        <w:rPr>
          <w:rFonts w:asciiTheme="majorBidi" w:hAnsiTheme="majorBidi"/>
          <w:sz w:val="24"/>
          <w:szCs w:val="24"/>
        </w:rPr>
      </w:pPr>
      <w:r w:rsidRPr="00D70892">
        <w:rPr>
          <w:rFonts w:asciiTheme="majorBidi" w:hAnsiTheme="majorBidi"/>
          <w:sz w:val="24"/>
          <w:szCs w:val="24"/>
        </w:rPr>
        <w:t>5.1 Filtering results</w:t>
      </w:r>
    </w:p>
    <w:tbl>
      <w:tblPr>
        <w:tblStyle w:val="TableGrid"/>
        <w:tblW w:w="0" w:type="auto"/>
        <w:jc w:val="center"/>
        <w:tblLook w:val="04A0" w:firstRow="1" w:lastRow="0" w:firstColumn="1" w:lastColumn="0" w:noHBand="0" w:noVBand="1"/>
      </w:tblPr>
      <w:tblGrid>
        <w:gridCol w:w="3308"/>
        <w:gridCol w:w="3311"/>
        <w:gridCol w:w="3307"/>
      </w:tblGrid>
      <w:tr w:rsidR="0075670A" w:rsidRPr="00D70892" w14:paraId="35194C5D" w14:textId="77777777">
        <w:trPr>
          <w:tblHeader/>
          <w:jc w:val="center"/>
        </w:trPr>
        <w:tc>
          <w:tcPr>
            <w:tcW w:w="3312" w:type="dxa"/>
            <w:shd w:val="clear" w:color="auto" w:fill="D9E2F3"/>
          </w:tcPr>
          <w:p w14:paraId="64CA90FC" w14:textId="77777777" w:rsidR="0075670A" w:rsidRPr="00D70892" w:rsidRDefault="00000000">
            <w:pPr>
              <w:rPr>
                <w:rFonts w:asciiTheme="majorBidi" w:hAnsiTheme="majorBidi" w:cstheme="majorBidi"/>
                <w:sz w:val="24"/>
                <w:szCs w:val="24"/>
              </w:rPr>
            </w:pPr>
            <w:r w:rsidRPr="00D70892">
              <w:rPr>
                <w:rFonts w:asciiTheme="majorBidi" w:hAnsiTheme="majorBidi" w:cstheme="majorBidi"/>
                <w:b/>
                <w:sz w:val="24"/>
                <w:szCs w:val="24"/>
              </w:rPr>
              <w:t>Stage</w:t>
            </w:r>
          </w:p>
        </w:tc>
        <w:tc>
          <w:tcPr>
            <w:tcW w:w="3312" w:type="dxa"/>
            <w:shd w:val="clear" w:color="auto" w:fill="D9E2F3"/>
          </w:tcPr>
          <w:p w14:paraId="4A28FF5E" w14:textId="77777777" w:rsidR="0075670A" w:rsidRPr="00D70892" w:rsidRDefault="00000000">
            <w:pPr>
              <w:rPr>
                <w:rFonts w:asciiTheme="majorBidi" w:hAnsiTheme="majorBidi" w:cstheme="majorBidi"/>
                <w:sz w:val="24"/>
                <w:szCs w:val="24"/>
              </w:rPr>
            </w:pPr>
            <w:r w:rsidRPr="00D70892">
              <w:rPr>
                <w:rFonts w:asciiTheme="majorBidi" w:hAnsiTheme="majorBidi" w:cstheme="majorBidi"/>
                <w:b/>
                <w:sz w:val="24"/>
                <w:szCs w:val="24"/>
              </w:rPr>
              <w:t>Main criterion</w:t>
            </w:r>
          </w:p>
        </w:tc>
        <w:tc>
          <w:tcPr>
            <w:tcW w:w="3312" w:type="dxa"/>
            <w:shd w:val="clear" w:color="auto" w:fill="D9E2F3"/>
          </w:tcPr>
          <w:p w14:paraId="21D9A19A" w14:textId="77777777" w:rsidR="0075670A" w:rsidRPr="00D70892" w:rsidRDefault="00000000">
            <w:pPr>
              <w:rPr>
                <w:rFonts w:asciiTheme="majorBidi" w:hAnsiTheme="majorBidi" w:cstheme="majorBidi"/>
                <w:sz w:val="24"/>
                <w:szCs w:val="24"/>
              </w:rPr>
            </w:pPr>
            <w:r w:rsidRPr="00D70892">
              <w:rPr>
                <w:rFonts w:asciiTheme="majorBidi" w:hAnsiTheme="majorBidi" w:cstheme="majorBidi"/>
                <w:b/>
                <w:sz w:val="24"/>
                <w:szCs w:val="24"/>
              </w:rPr>
              <w:t>Variants remaining</w:t>
            </w:r>
          </w:p>
        </w:tc>
      </w:tr>
      <w:tr w:rsidR="0075670A" w:rsidRPr="00D70892" w14:paraId="4695CBFC" w14:textId="77777777">
        <w:trPr>
          <w:jc w:val="center"/>
        </w:trPr>
        <w:tc>
          <w:tcPr>
            <w:tcW w:w="3312" w:type="dxa"/>
            <w:tcMar>
              <w:top w:w="80" w:type="dxa"/>
              <w:left w:w="80" w:type="dxa"/>
              <w:bottom w:w="80" w:type="dxa"/>
              <w:right w:w="80" w:type="dxa"/>
            </w:tcMar>
          </w:tcPr>
          <w:p w14:paraId="26936733"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Starting dataset</w:t>
            </w:r>
          </w:p>
        </w:tc>
        <w:tc>
          <w:tcPr>
            <w:tcW w:w="3312" w:type="dxa"/>
            <w:tcMar>
              <w:top w:w="80" w:type="dxa"/>
              <w:left w:w="80" w:type="dxa"/>
              <w:bottom w:w="80" w:type="dxa"/>
              <w:right w:w="80" w:type="dxa"/>
            </w:tcMar>
          </w:tcPr>
          <w:p w14:paraId="7FEADA14"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All annotated variants</w:t>
            </w:r>
          </w:p>
        </w:tc>
        <w:tc>
          <w:tcPr>
            <w:tcW w:w="3312" w:type="dxa"/>
            <w:tcMar>
              <w:top w:w="80" w:type="dxa"/>
              <w:left w:w="80" w:type="dxa"/>
              <w:bottom w:w="80" w:type="dxa"/>
              <w:right w:w="80" w:type="dxa"/>
            </w:tcMar>
          </w:tcPr>
          <w:p w14:paraId="6FBD2733" w14:textId="77777777" w:rsidR="0075670A" w:rsidRPr="00D70892" w:rsidRDefault="00000000">
            <w:pPr>
              <w:jc w:val="center"/>
              <w:rPr>
                <w:rFonts w:asciiTheme="majorBidi" w:hAnsiTheme="majorBidi" w:cstheme="majorBidi"/>
                <w:sz w:val="24"/>
                <w:szCs w:val="24"/>
              </w:rPr>
            </w:pPr>
            <w:r w:rsidRPr="00D70892">
              <w:rPr>
                <w:rFonts w:asciiTheme="majorBidi" w:hAnsiTheme="majorBidi" w:cstheme="majorBidi"/>
                <w:sz w:val="24"/>
                <w:szCs w:val="24"/>
              </w:rPr>
              <w:t>386,518</w:t>
            </w:r>
          </w:p>
        </w:tc>
      </w:tr>
      <w:tr w:rsidR="0075670A" w:rsidRPr="00D70892" w14:paraId="1BF96332" w14:textId="77777777">
        <w:trPr>
          <w:jc w:val="center"/>
        </w:trPr>
        <w:tc>
          <w:tcPr>
            <w:tcW w:w="3312" w:type="dxa"/>
            <w:tcMar>
              <w:top w:w="80" w:type="dxa"/>
              <w:left w:w="80" w:type="dxa"/>
              <w:bottom w:w="80" w:type="dxa"/>
              <w:right w:w="80" w:type="dxa"/>
            </w:tcMar>
          </w:tcPr>
          <w:p w14:paraId="7BBF5125"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Functional region</w:t>
            </w:r>
          </w:p>
        </w:tc>
        <w:tc>
          <w:tcPr>
            <w:tcW w:w="3312" w:type="dxa"/>
            <w:tcMar>
              <w:top w:w="80" w:type="dxa"/>
              <w:left w:w="80" w:type="dxa"/>
              <w:bottom w:w="80" w:type="dxa"/>
              <w:right w:w="80" w:type="dxa"/>
            </w:tcMar>
          </w:tcPr>
          <w:p w14:paraId="7598E708"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Relevant coding/splicing/functional regions</w:t>
            </w:r>
          </w:p>
        </w:tc>
        <w:tc>
          <w:tcPr>
            <w:tcW w:w="3312" w:type="dxa"/>
            <w:tcMar>
              <w:top w:w="80" w:type="dxa"/>
              <w:left w:w="80" w:type="dxa"/>
              <w:bottom w:w="80" w:type="dxa"/>
              <w:right w:w="80" w:type="dxa"/>
            </w:tcMar>
          </w:tcPr>
          <w:p w14:paraId="05E42202" w14:textId="77777777" w:rsidR="0075670A" w:rsidRPr="00D70892" w:rsidRDefault="00000000">
            <w:pPr>
              <w:jc w:val="center"/>
              <w:rPr>
                <w:rFonts w:asciiTheme="majorBidi" w:hAnsiTheme="majorBidi" w:cstheme="majorBidi"/>
                <w:sz w:val="24"/>
                <w:szCs w:val="24"/>
              </w:rPr>
            </w:pPr>
            <w:r w:rsidRPr="00D70892">
              <w:rPr>
                <w:rFonts w:asciiTheme="majorBidi" w:hAnsiTheme="majorBidi" w:cstheme="majorBidi"/>
                <w:sz w:val="24"/>
                <w:szCs w:val="24"/>
              </w:rPr>
              <w:t>24,601</w:t>
            </w:r>
          </w:p>
        </w:tc>
      </w:tr>
      <w:tr w:rsidR="0075670A" w:rsidRPr="00D70892" w14:paraId="2616D36F" w14:textId="77777777">
        <w:trPr>
          <w:jc w:val="center"/>
        </w:trPr>
        <w:tc>
          <w:tcPr>
            <w:tcW w:w="3312" w:type="dxa"/>
            <w:tcMar>
              <w:top w:w="80" w:type="dxa"/>
              <w:left w:w="80" w:type="dxa"/>
              <w:bottom w:w="80" w:type="dxa"/>
              <w:right w:w="80" w:type="dxa"/>
            </w:tcMar>
          </w:tcPr>
          <w:p w14:paraId="495F3F0B"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Consequence</w:t>
            </w:r>
          </w:p>
        </w:tc>
        <w:tc>
          <w:tcPr>
            <w:tcW w:w="3312" w:type="dxa"/>
            <w:tcMar>
              <w:top w:w="80" w:type="dxa"/>
              <w:left w:w="80" w:type="dxa"/>
              <w:bottom w:w="80" w:type="dxa"/>
              <w:right w:w="80" w:type="dxa"/>
            </w:tcMar>
          </w:tcPr>
          <w:p w14:paraId="66026694"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Selected variant-effect categories</w:t>
            </w:r>
          </w:p>
        </w:tc>
        <w:tc>
          <w:tcPr>
            <w:tcW w:w="3312" w:type="dxa"/>
            <w:tcMar>
              <w:top w:w="80" w:type="dxa"/>
              <w:left w:w="80" w:type="dxa"/>
              <w:bottom w:w="80" w:type="dxa"/>
              <w:right w:w="80" w:type="dxa"/>
            </w:tcMar>
          </w:tcPr>
          <w:p w14:paraId="052636F4" w14:textId="77777777" w:rsidR="0075670A" w:rsidRPr="00D70892" w:rsidRDefault="00000000">
            <w:pPr>
              <w:jc w:val="center"/>
              <w:rPr>
                <w:rFonts w:asciiTheme="majorBidi" w:hAnsiTheme="majorBidi" w:cstheme="majorBidi"/>
                <w:sz w:val="24"/>
                <w:szCs w:val="24"/>
              </w:rPr>
            </w:pPr>
            <w:r w:rsidRPr="00D70892">
              <w:rPr>
                <w:rFonts w:asciiTheme="majorBidi" w:hAnsiTheme="majorBidi" w:cstheme="majorBidi"/>
                <w:sz w:val="24"/>
                <w:szCs w:val="24"/>
              </w:rPr>
              <w:t>12,734</w:t>
            </w:r>
          </w:p>
        </w:tc>
      </w:tr>
      <w:tr w:rsidR="0075670A" w:rsidRPr="00D70892" w14:paraId="7D9816DD" w14:textId="77777777">
        <w:trPr>
          <w:jc w:val="center"/>
        </w:trPr>
        <w:tc>
          <w:tcPr>
            <w:tcW w:w="3312" w:type="dxa"/>
            <w:tcMar>
              <w:top w:w="80" w:type="dxa"/>
              <w:left w:w="80" w:type="dxa"/>
              <w:bottom w:w="80" w:type="dxa"/>
              <w:right w:w="80" w:type="dxa"/>
            </w:tcMar>
          </w:tcPr>
          <w:p w14:paraId="54BA03EB"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Rarity + inheritance</w:t>
            </w:r>
          </w:p>
        </w:tc>
        <w:tc>
          <w:tcPr>
            <w:tcW w:w="3312" w:type="dxa"/>
            <w:tcMar>
              <w:top w:w="80" w:type="dxa"/>
              <w:left w:w="80" w:type="dxa"/>
              <w:bottom w:w="80" w:type="dxa"/>
              <w:right w:w="80" w:type="dxa"/>
            </w:tcMar>
          </w:tcPr>
          <w:p w14:paraId="7F3529DB"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AF &lt;0.01 or “.”; genotype/inheritance prioritization</w:t>
            </w:r>
          </w:p>
        </w:tc>
        <w:tc>
          <w:tcPr>
            <w:tcW w:w="3312" w:type="dxa"/>
            <w:tcMar>
              <w:top w:w="80" w:type="dxa"/>
              <w:left w:w="80" w:type="dxa"/>
              <w:bottom w:w="80" w:type="dxa"/>
              <w:right w:w="80" w:type="dxa"/>
            </w:tcMar>
          </w:tcPr>
          <w:p w14:paraId="3593AE72" w14:textId="77777777" w:rsidR="0075670A" w:rsidRPr="00D70892" w:rsidRDefault="00000000">
            <w:pPr>
              <w:jc w:val="center"/>
              <w:rPr>
                <w:rFonts w:asciiTheme="majorBidi" w:hAnsiTheme="majorBidi" w:cstheme="majorBidi"/>
                <w:sz w:val="24"/>
                <w:szCs w:val="24"/>
              </w:rPr>
            </w:pPr>
            <w:r w:rsidRPr="00D70892">
              <w:rPr>
                <w:rFonts w:asciiTheme="majorBidi" w:hAnsiTheme="majorBidi" w:cstheme="majorBidi"/>
                <w:sz w:val="24"/>
                <w:szCs w:val="24"/>
              </w:rPr>
              <w:t>71</w:t>
            </w:r>
          </w:p>
        </w:tc>
      </w:tr>
      <w:tr w:rsidR="0075670A" w:rsidRPr="00D70892" w14:paraId="488658EB" w14:textId="77777777">
        <w:trPr>
          <w:jc w:val="center"/>
        </w:trPr>
        <w:tc>
          <w:tcPr>
            <w:tcW w:w="3312" w:type="dxa"/>
            <w:tcMar>
              <w:top w:w="80" w:type="dxa"/>
              <w:left w:w="80" w:type="dxa"/>
              <w:bottom w:w="80" w:type="dxa"/>
              <w:right w:w="80" w:type="dxa"/>
            </w:tcMar>
          </w:tcPr>
          <w:p w14:paraId="4EB2191D"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Quality</w:t>
            </w:r>
          </w:p>
        </w:tc>
        <w:tc>
          <w:tcPr>
            <w:tcW w:w="3312" w:type="dxa"/>
            <w:tcMar>
              <w:top w:w="80" w:type="dxa"/>
              <w:left w:w="80" w:type="dxa"/>
              <w:bottom w:w="80" w:type="dxa"/>
              <w:right w:w="80" w:type="dxa"/>
            </w:tcMar>
          </w:tcPr>
          <w:p w14:paraId="217A5EE7"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PASS calls</w:t>
            </w:r>
          </w:p>
        </w:tc>
        <w:tc>
          <w:tcPr>
            <w:tcW w:w="3312" w:type="dxa"/>
            <w:tcMar>
              <w:top w:w="80" w:type="dxa"/>
              <w:left w:w="80" w:type="dxa"/>
              <w:bottom w:w="80" w:type="dxa"/>
              <w:right w:w="80" w:type="dxa"/>
            </w:tcMar>
          </w:tcPr>
          <w:p w14:paraId="6E9796F0" w14:textId="77777777" w:rsidR="0075670A" w:rsidRPr="00D70892" w:rsidRDefault="00000000">
            <w:pPr>
              <w:jc w:val="center"/>
              <w:rPr>
                <w:rFonts w:asciiTheme="majorBidi" w:hAnsiTheme="majorBidi" w:cstheme="majorBidi"/>
                <w:sz w:val="24"/>
                <w:szCs w:val="24"/>
              </w:rPr>
            </w:pPr>
            <w:r w:rsidRPr="00D70892">
              <w:rPr>
                <w:rFonts w:asciiTheme="majorBidi" w:hAnsiTheme="majorBidi" w:cstheme="majorBidi"/>
                <w:sz w:val="24"/>
                <w:szCs w:val="24"/>
              </w:rPr>
              <w:t>54</w:t>
            </w:r>
          </w:p>
        </w:tc>
      </w:tr>
      <w:tr w:rsidR="0075670A" w:rsidRPr="00D70892" w14:paraId="5A620152" w14:textId="77777777">
        <w:trPr>
          <w:jc w:val="center"/>
        </w:trPr>
        <w:tc>
          <w:tcPr>
            <w:tcW w:w="3312" w:type="dxa"/>
            <w:tcMar>
              <w:top w:w="80" w:type="dxa"/>
              <w:left w:w="80" w:type="dxa"/>
              <w:bottom w:w="80" w:type="dxa"/>
              <w:right w:w="80" w:type="dxa"/>
            </w:tcMar>
          </w:tcPr>
          <w:p w14:paraId="650E0037"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Integrated interpretation</w:t>
            </w:r>
          </w:p>
        </w:tc>
        <w:tc>
          <w:tcPr>
            <w:tcW w:w="3312" w:type="dxa"/>
            <w:tcMar>
              <w:top w:w="80" w:type="dxa"/>
              <w:left w:w="80" w:type="dxa"/>
              <w:bottom w:w="80" w:type="dxa"/>
              <w:right w:w="80" w:type="dxa"/>
            </w:tcMar>
          </w:tcPr>
          <w:p w14:paraId="652B3DCE"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Gene/disease/phenotype + variant evidence</w:t>
            </w:r>
          </w:p>
        </w:tc>
        <w:tc>
          <w:tcPr>
            <w:tcW w:w="3312" w:type="dxa"/>
            <w:tcMar>
              <w:top w:w="80" w:type="dxa"/>
              <w:left w:w="80" w:type="dxa"/>
              <w:bottom w:w="80" w:type="dxa"/>
              <w:right w:w="80" w:type="dxa"/>
            </w:tcMar>
          </w:tcPr>
          <w:p w14:paraId="46EF0365" w14:textId="77777777" w:rsidR="0075670A" w:rsidRPr="00D70892" w:rsidRDefault="00000000">
            <w:pPr>
              <w:jc w:val="center"/>
              <w:rPr>
                <w:rFonts w:asciiTheme="majorBidi" w:hAnsiTheme="majorBidi" w:cstheme="majorBidi"/>
                <w:sz w:val="24"/>
                <w:szCs w:val="24"/>
              </w:rPr>
            </w:pPr>
            <w:r w:rsidRPr="00D70892">
              <w:rPr>
                <w:rFonts w:asciiTheme="majorBidi" w:hAnsiTheme="majorBidi" w:cstheme="majorBidi"/>
                <w:sz w:val="24"/>
                <w:szCs w:val="24"/>
              </w:rPr>
              <w:t>4</w:t>
            </w:r>
          </w:p>
        </w:tc>
      </w:tr>
    </w:tbl>
    <w:p w14:paraId="7CD99980" w14:textId="77777777" w:rsidR="0075670A" w:rsidRPr="00D70892" w:rsidRDefault="00000000">
      <w:pPr>
        <w:pStyle w:val="Heading2"/>
        <w:spacing w:after="100" w:line="259" w:lineRule="auto"/>
        <w:rPr>
          <w:rFonts w:asciiTheme="majorBidi" w:hAnsiTheme="majorBidi"/>
          <w:sz w:val="24"/>
          <w:szCs w:val="24"/>
        </w:rPr>
      </w:pPr>
      <w:r w:rsidRPr="00D70892">
        <w:rPr>
          <w:rFonts w:asciiTheme="majorBidi" w:hAnsiTheme="majorBidi"/>
          <w:sz w:val="24"/>
          <w:szCs w:val="24"/>
        </w:rPr>
        <w:t>5.2 Final prioritized candidates</w:t>
      </w:r>
    </w:p>
    <w:tbl>
      <w:tblPr>
        <w:tblStyle w:val="TableGrid"/>
        <w:tblW w:w="0" w:type="auto"/>
        <w:jc w:val="center"/>
        <w:tblLook w:val="04A0" w:firstRow="1" w:lastRow="0" w:firstColumn="1" w:lastColumn="0" w:noHBand="0" w:noVBand="1"/>
      </w:tblPr>
      <w:tblGrid>
        <w:gridCol w:w="768"/>
        <w:gridCol w:w="1152"/>
        <w:gridCol w:w="2908"/>
        <w:gridCol w:w="1680"/>
        <w:gridCol w:w="1296"/>
        <w:gridCol w:w="2122"/>
      </w:tblGrid>
      <w:tr w:rsidR="0075670A" w:rsidRPr="00D70892" w14:paraId="284DAC16" w14:textId="77777777" w:rsidTr="00676347">
        <w:trPr>
          <w:tblHeader/>
          <w:jc w:val="center"/>
        </w:trPr>
        <w:tc>
          <w:tcPr>
            <w:tcW w:w="774" w:type="dxa"/>
            <w:shd w:val="clear" w:color="auto" w:fill="D9E2F3"/>
            <w:tcMar>
              <w:top w:w="60" w:type="dxa"/>
              <w:left w:w="60" w:type="dxa"/>
              <w:bottom w:w="60" w:type="dxa"/>
              <w:right w:w="60" w:type="dxa"/>
            </w:tcMar>
          </w:tcPr>
          <w:p w14:paraId="42E2C739" w14:textId="77777777" w:rsidR="0075670A" w:rsidRPr="00D70892" w:rsidRDefault="00000000">
            <w:pPr>
              <w:rPr>
                <w:rFonts w:asciiTheme="majorBidi" w:hAnsiTheme="majorBidi" w:cstheme="majorBidi"/>
                <w:sz w:val="24"/>
                <w:szCs w:val="24"/>
              </w:rPr>
            </w:pPr>
            <w:r w:rsidRPr="00D70892">
              <w:rPr>
                <w:rFonts w:asciiTheme="majorBidi" w:hAnsiTheme="majorBidi" w:cstheme="majorBidi"/>
                <w:b/>
                <w:sz w:val="24"/>
                <w:szCs w:val="24"/>
              </w:rPr>
              <w:t>Rank</w:t>
            </w:r>
          </w:p>
        </w:tc>
        <w:tc>
          <w:tcPr>
            <w:tcW w:w="1161" w:type="dxa"/>
            <w:shd w:val="clear" w:color="auto" w:fill="D9E2F3"/>
            <w:tcMar>
              <w:top w:w="60" w:type="dxa"/>
              <w:left w:w="60" w:type="dxa"/>
              <w:bottom w:w="60" w:type="dxa"/>
              <w:right w:w="60" w:type="dxa"/>
            </w:tcMar>
          </w:tcPr>
          <w:p w14:paraId="1101BBFD" w14:textId="77777777" w:rsidR="0075670A" w:rsidRPr="00D70892" w:rsidRDefault="00000000">
            <w:pPr>
              <w:rPr>
                <w:rFonts w:asciiTheme="majorBidi" w:hAnsiTheme="majorBidi" w:cstheme="majorBidi"/>
                <w:sz w:val="24"/>
                <w:szCs w:val="24"/>
              </w:rPr>
            </w:pPr>
            <w:r w:rsidRPr="00D70892">
              <w:rPr>
                <w:rFonts w:asciiTheme="majorBidi" w:hAnsiTheme="majorBidi" w:cstheme="majorBidi"/>
                <w:b/>
                <w:sz w:val="24"/>
                <w:szCs w:val="24"/>
              </w:rPr>
              <w:t>Gene</w:t>
            </w:r>
          </w:p>
        </w:tc>
        <w:tc>
          <w:tcPr>
            <w:tcW w:w="2908" w:type="dxa"/>
            <w:shd w:val="clear" w:color="auto" w:fill="D9E2F3"/>
            <w:tcMar>
              <w:top w:w="60" w:type="dxa"/>
              <w:left w:w="60" w:type="dxa"/>
              <w:bottom w:w="60" w:type="dxa"/>
              <w:right w:w="60" w:type="dxa"/>
            </w:tcMar>
          </w:tcPr>
          <w:p w14:paraId="0A958A11" w14:textId="77777777" w:rsidR="0075670A" w:rsidRPr="00D70892" w:rsidRDefault="00000000">
            <w:pPr>
              <w:rPr>
                <w:rFonts w:asciiTheme="majorBidi" w:hAnsiTheme="majorBidi" w:cstheme="majorBidi"/>
                <w:sz w:val="24"/>
                <w:szCs w:val="24"/>
              </w:rPr>
            </w:pPr>
            <w:r w:rsidRPr="00D70892">
              <w:rPr>
                <w:rFonts w:asciiTheme="majorBidi" w:hAnsiTheme="majorBidi" w:cstheme="majorBidi"/>
                <w:b/>
                <w:sz w:val="24"/>
                <w:szCs w:val="24"/>
              </w:rPr>
              <w:t>Variant (dataset annotation)</w:t>
            </w:r>
          </w:p>
        </w:tc>
        <w:tc>
          <w:tcPr>
            <w:tcW w:w="1697" w:type="dxa"/>
            <w:shd w:val="clear" w:color="auto" w:fill="D9E2F3"/>
            <w:tcMar>
              <w:top w:w="60" w:type="dxa"/>
              <w:left w:w="60" w:type="dxa"/>
              <w:bottom w:w="60" w:type="dxa"/>
              <w:right w:w="60" w:type="dxa"/>
            </w:tcMar>
          </w:tcPr>
          <w:p w14:paraId="25DE67A6" w14:textId="77777777" w:rsidR="0075670A" w:rsidRPr="00D70892" w:rsidRDefault="00000000">
            <w:pPr>
              <w:rPr>
                <w:rFonts w:asciiTheme="majorBidi" w:hAnsiTheme="majorBidi" w:cstheme="majorBidi"/>
                <w:sz w:val="24"/>
                <w:szCs w:val="24"/>
              </w:rPr>
            </w:pPr>
            <w:r w:rsidRPr="00D70892">
              <w:rPr>
                <w:rFonts w:asciiTheme="majorBidi" w:hAnsiTheme="majorBidi" w:cstheme="majorBidi"/>
                <w:b/>
                <w:sz w:val="24"/>
                <w:szCs w:val="24"/>
              </w:rPr>
              <w:t>Consequence</w:t>
            </w:r>
          </w:p>
        </w:tc>
        <w:tc>
          <w:tcPr>
            <w:tcW w:w="1350" w:type="dxa"/>
            <w:shd w:val="clear" w:color="auto" w:fill="D9E2F3"/>
            <w:tcMar>
              <w:top w:w="60" w:type="dxa"/>
              <w:left w:w="60" w:type="dxa"/>
              <w:bottom w:w="60" w:type="dxa"/>
              <w:right w:w="60" w:type="dxa"/>
            </w:tcMar>
          </w:tcPr>
          <w:p w14:paraId="603B0AFE" w14:textId="77777777" w:rsidR="0075670A" w:rsidRPr="00D70892" w:rsidRDefault="00000000">
            <w:pPr>
              <w:rPr>
                <w:rFonts w:asciiTheme="majorBidi" w:hAnsiTheme="majorBidi" w:cstheme="majorBidi"/>
                <w:sz w:val="24"/>
                <w:szCs w:val="24"/>
              </w:rPr>
            </w:pPr>
            <w:r w:rsidRPr="00D70892">
              <w:rPr>
                <w:rFonts w:asciiTheme="majorBidi" w:hAnsiTheme="majorBidi" w:cstheme="majorBidi"/>
                <w:b/>
                <w:sz w:val="24"/>
                <w:szCs w:val="24"/>
              </w:rPr>
              <w:t>GT / DP / GQ</w:t>
            </w:r>
          </w:p>
        </w:tc>
        <w:tc>
          <w:tcPr>
            <w:tcW w:w="2166" w:type="dxa"/>
            <w:shd w:val="clear" w:color="auto" w:fill="D9E2F3"/>
            <w:tcMar>
              <w:top w:w="60" w:type="dxa"/>
              <w:left w:w="60" w:type="dxa"/>
              <w:bottom w:w="60" w:type="dxa"/>
              <w:right w:w="60" w:type="dxa"/>
            </w:tcMar>
          </w:tcPr>
          <w:p w14:paraId="54219B3F" w14:textId="77777777" w:rsidR="0075670A" w:rsidRPr="00D70892" w:rsidRDefault="00000000">
            <w:pPr>
              <w:rPr>
                <w:rFonts w:asciiTheme="majorBidi" w:hAnsiTheme="majorBidi" w:cstheme="majorBidi"/>
                <w:sz w:val="24"/>
                <w:szCs w:val="24"/>
              </w:rPr>
            </w:pPr>
            <w:r w:rsidRPr="00D70892">
              <w:rPr>
                <w:rFonts w:asciiTheme="majorBidi" w:hAnsiTheme="majorBidi" w:cstheme="majorBidi"/>
                <w:b/>
                <w:sz w:val="24"/>
                <w:szCs w:val="24"/>
              </w:rPr>
              <w:t>Overall interpretation</w:t>
            </w:r>
          </w:p>
        </w:tc>
      </w:tr>
      <w:tr w:rsidR="0075670A" w:rsidRPr="00D70892" w14:paraId="17BEADD4" w14:textId="77777777" w:rsidTr="00676347">
        <w:trPr>
          <w:jc w:val="center"/>
        </w:trPr>
        <w:tc>
          <w:tcPr>
            <w:tcW w:w="774" w:type="dxa"/>
            <w:tcMar>
              <w:top w:w="55" w:type="dxa"/>
              <w:left w:w="55" w:type="dxa"/>
              <w:bottom w:w="55" w:type="dxa"/>
              <w:right w:w="55" w:type="dxa"/>
            </w:tcMar>
          </w:tcPr>
          <w:p w14:paraId="46CF868F" w14:textId="77777777" w:rsidR="0075670A" w:rsidRPr="00D70892" w:rsidRDefault="00000000">
            <w:pPr>
              <w:jc w:val="center"/>
              <w:rPr>
                <w:rFonts w:asciiTheme="majorBidi" w:hAnsiTheme="majorBidi" w:cstheme="majorBidi"/>
                <w:sz w:val="24"/>
                <w:szCs w:val="24"/>
              </w:rPr>
            </w:pPr>
            <w:r w:rsidRPr="00D70892">
              <w:rPr>
                <w:rFonts w:asciiTheme="majorBidi" w:hAnsiTheme="majorBidi" w:cstheme="majorBidi"/>
                <w:sz w:val="24"/>
                <w:szCs w:val="24"/>
              </w:rPr>
              <w:t>1</w:t>
            </w:r>
          </w:p>
        </w:tc>
        <w:tc>
          <w:tcPr>
            <w:tcW w:w="1161" w:type="dxa"/>
            <w:tcMar>
              <w:top w:w="55" w:type="dxa"/>
              <w:left w:w="55" w:type="dxa"/>
              <w:bottom w:w="55" w:type="dxa"/>
              <w:right w:w="55" w:type="dxa"/>
            </w:tcMar>
          </w:tcPr>
          <w:p w14:paraId="2269E921"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YY1AP1</w:t>
            </w:r>
          </w:p>
        </w:tc>
        <w:tc>
          <w:tcPr>
            <w:tcW w:w="2908" w:type="dxa"/>
            <w:tcMar>
              <w:top w:w="55" w:type="dxa"/>
              <w:left w:w="55" w:type="dxa"/>
              <w:bottom w:w="55" w:type="dxa"/>
              <w:right w:w="55" w:type="dxa"/>
            </w:tcMar>
          </w:tcPr>
          <w:p w14:paraId="54214DE9"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NM_001198899:</w:t>
            </w:r>
            <w:proofErr w:type="gramStart"/>
            <w:r w:rsidRPr="00D70892">
              <w:rPr>
                <w:rFonts w:asciiTheme="majorBidi" w:hAnsiTheme="majorBidi" w:cstheme="majorBidi"/>
                <w:sz w:val="24"/>
                <w:szCs w:val="24"/>
              </w:rPr>
              <w:t>c.T</w:t>
            </w:r>
            <w:proofErr w:type="gramEnd"/>
            <w:r w:rsidRPr="00D70892">
              <w:rPr>
                <w:rFonts w:asciiTheme="majorBidi" w:hAnsiTheme="majorBidi" w:cstheme="majorBidi"/>
                <w:sz w:val="24"/>
                <w:szCs w:val="24"/>
              </w:rPr>
              <w:t xml:space="preserve">1373G; </w:t>
            </w:r>
            <w:proofErr w:type="gramStart"/>
            <w:r w:rsidRPr="00D70892">
              <w:rPr>
                <w:rFonts w:asciiTheme="majorBidi" w:hAnsiTheme="majorBidi" w:cstheme="majorBidi"/>
                <w:sz w:val="24"/>
                <w:szCs w:val="24"/>
              </w:rPr>
              <w:t>p.L</w:t>
            </w:r>
            <w:proofErr w:type="gramEnd"/>
            <w:r w:rsidRPr="00D70892">
              <w:rPr>
                <w:rFonts w:asciiTheme="majorBidi" w:hAnsiTheme="majorBidi" w:cstheme="majorBidi"/>
                <w:sz w:val="24"/>
                <w:szCs w:val="24"/>
              </w:rPr>
              <w:t>458R</w:t>
            </w:r>
          </w:p>
        </w:tc>
        <w:tc>
          <w:tcPr>
            <w:tcW w:w="1697" w:type="dxa"/>
            <w:tcMar>
              <w:top w:w="55" w:type="dxa"/>
              <w:left w:w="55" w:type="dxa"/>
              <w:bottom w:w="55" w:type="dxa"/>
              <w:right w:w="55" w:type="dxa"/>
            </w:tcMar>
          </w:tcPr>
          <w:p w14:paraId="1CB6C2F5"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Missense</w:t>
            </w:r>
          </w:p>
        </w:tc>
        <w:tc>
          <w:tcPr>
            <w:tcW w:w="1350" w:type="dxa"/>
            <w:tcMar>
              <w:top w:w="55" w:type="dxa"/>
              <w:left w:w="55" w:type="dxa"/>
              <w:bottom w:w="55" w:type="dxa"/>
              <w:right w:w="55" w:type="dxa"/>
            </w:tcMar>
          </w:tcPr>
          <w:p w14:paraId="2A61E648"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1/1; 79; 99</w:t>
            </w:r>
          </w:p>
        </w:tc>
        <w:tc>
          <w:tcPr>
            <w:tcW w:w="2166" w:type="dxa"/>
            <w:tcMar>
              <w:top w:w="55" w:type="dxa"/>
              <w:left w:w="55" w:type="dxa"/>
              <w:bottom w:w="55" w:type="dxa"/>
              <w:right w:w="55" w:type="dxa"/>
            </w:tcMar>
          </w:tcPr>
          <w:p w14:paraId="08CC1141"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Strongest overall clinical candidate; VUS</w:t>
            </w:r>
          </w:p>
        </w:tc>
      </w:tr>
      <w:tr w:rsidR="0075670A" w:rsidRPr="00D70892" w14:paraId="6CB81824" w14:textId="77777777" w:rsidTr="00676347">
        <w:trPr>
          <w:jc w:val="center"/>
        </w:trPr>
        <w:tc>
          <w:tcPr>
            <w:tcW w:w="774" w:type="dxa"/>
            <w:tcMar>
              <w:top w:w="55" w:type="dxa"/>
              <w:left w:w="55" w:type="dxa"/>
              <w:bottom w:w="55" w:type="dxa"/>
              <w:right w:w="55" w:type="dxa"/>
            </w:tcMar>
          </w:tcPr>
          <w:p w14:paraId="091F4EDF" w14:textId="77777777" w:rsidR="0075670A" w:rsidRPr="00D70892" w:rsidRDefault="00000000">
            <w:pPr>
              <w:jc w:val="center"/>
              <w:rPr>
                <w:rFonts w:asciiTheme="majorBidi" w:hAnsiTheme="majorBidi" w:cstheme="majorBidi"/>
                <w:sz w:val="24"/>
                <w:szCs w:val="24"/>
              </w:rPr>
            </w:pPr>
            <w:r w:rsidRPr="00D70892">
              <w:rPr>
                <w:rFonts w:asciiTheme="majorBidi" w:hAnsiTheme="majorBidi" w:cstheme="majorBidi"/>
                <w:sz w:val="24"/>
                <w:szCs w:val="24"/>
              </w:rPr>
              <w:t>2</w:t>
            </w:r>
          </w:p>
        </w:tc>
        <w:tc>
          <w:tcPr>
            <w:tcW w:w="1161" w:type="dxa"/>
            <w:tcMar>
              <w:top w:w="55" w:type="dxa"/>
              <w:left w:w="55" w:type="dxa"/>
              <w:bottom w:w="55" w:type="dxa"/>
              <w:right w:w="55" w:type="dxa"/>
            </w:tcMar>
          </w:tcPr>
          <w:p w14:paraId="112184FA"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PUS10</w:t>
            </w:r>
          </w:p>
        </w:tc>
        <w:tc>
          <w:tcPr>
            <w:tcW w:w="2908" w:type="dxa"/>
            <w:tcMar>
              <w:top w:w="55" w:type="dxa"/>
              <w:left w:w="55" w:type="dxa"/>
              <w:bottom w:w="55" w:type="dxa"/>
              <w:right w:w="55" w:type="dxa"/>
            </w:tcMar>
          </w:tcPr>
          <w:p w14:paraId="4DF714A1"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NM_</w:t>
            </w:r>
            <w:proofErr w:type="gramStart"/>
            <w:r w:rsidRPr="00D70892">
              <w:rPr>
                <w:rFonts w:asciiTheme="majorBidi" w:hAnsiTheme="majorBidi" w:cstheme="majorBidi"/>
                <w:sz w:val="24"/>
                <w:szCs w:val="24"/>
              </w:rPr>
              <w:t>144709:c.</w:t>
            </w:r>
            <w:proofErr w:type="gramEnd"/>
            <w:r w:rsidRPr="00D70892">
              <w:rPr>
                <w:rFonts w:asciiTheme="majorBidi" w:hAnsiTheme="majorBidi" w:cstheme="majorBidi"/>
                <w:sz w:val="24"/>
                <w:szCs w:val="24"/>
              </w:rPr>
              <w:t>678-1G&gt;T</w:t>
            </w:r>
          </w:p>
        </w:tc>
        <w:tc>
          <w:tcPr>
            <w:tcW w:w="1697" w:type="dxa"/>
            <w:tcMar>
              <w:top w:w="55" w:type="dxa"/>
              <w:left w:w="55" w:type="dxa"/>
              <w:bottom w:w="55" w:type="dxa"/>
              <w:right w:w="55" w:type="dxa"/>
            </w:tcMar>
          </w:tcPr>
          <w:p w14:paraId="1ADF4BF8"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Canonical splice acceptor</w:t>
            </w:r>
          </w:p>
        </w:tc>
        <w:tc>
          <w:tcPr>
            <w:tcW w:w="1350" w:type="dxa"/>
            <w:tcMar>
              <w:top w:w="55" w:type="dxa"/>
              <w:left w:w="55" w:type="dxa"/>
              <w:bottom w:w="55" w:type="dxa"/>
              <w:right w:w="55" w:type="dxa"/>
            </w:tcMar>
          </w:tcPr>
          <w:p w14:paraId="037216A7"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1/1; 46; 99</w:t>
            </w:r>
          </w:p>
        </w:tc>
        <w:tc>
          <w:tcPr>
            <w:tcW w:w="2166" w:type="dxa"/>
            <w:tcMar>
              <w:top w:w="55" w:type="dxa"/>
              <w:left w:w="55" w:type="dxa"/>
              <w:bottom w:w="55" w:type="dxa"/>
              <w:right w:w="55" w:type="dxa"/>
            </w:tcMar>
          </w:tcPr>
          <w:p w14:paraId="4ADBC8ED"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Strongest research-level splice candidate</w:t>
            </w:r>
          </w:p>
        </w:tc>
      </w:tr>
      <w:tr w:rsidR="0075670A" w:rsidRPr="00D70892" w14:paraId="077DC4E6" w14:textId="77777777" w:rsidTr="00676347">
        <w:trPr>
          <w:jc w:val="center"/>
        </w:trPr>
        <w:tc>
          <w:tcPr>
            <w:tcW w:w="774" w:type="dxa"/>
            <w:tcMar>
              <w:top w:w="55" w:type="dxa"/>
              <w:left w:w="55" w:type="dxa"/>
              <w:bottom w:w="55" w:type="dxa"/>
              <w:right w:w="55" w:type="dxa"/>
            </w:tcMar>
          </w:tcPr>
          <w:p w14:paraId="6D831A6E" w14:textId="77777777" w:rsidR="0075670A" w:rsidRPr="00D70892" w:rsidRDefault="00000000">
            <w:pPr>
              <w:jc w:val="center"/>
              <w:rPr>
                <w:rFonts w:asciiTheme="majorBidi" w:hAnsiTheme="majorBidi" w:cstheme="majorBidi"/>
                <w:sz w:val="24"/>
                <w:szCs w:val="24"/>
              </w:rPr>
            </w:pPr>
            <w:r w:rsidRPr="00D70892">
              <w:rPr>
                <w:rFonts w:asciiTheme="majorBidi" w:hAnsiTheme="majorBidi" w:cstheme="majorBidi"/>
                <w:sz w:val="24"/>
                <w:szCs w:val="24"/>
              </w:rPr>
              <w:t>3</w:t>
            </w:r>
          </w:p>
        </w:tc>
        <w:tc>
          <w:tcPr>
            <w:tcW w:w="1161" w:type="dxa"/>
            <w:tcMar>
              <w:top w:w="55" w:type="dxa"/>
              <w:left w:w="55" w:type="dxa"/>
              <w:bottom w:w="55" w:type="dxa"/>
              <w:right w:w="55" w:type="dxa"/>
            </w:tcMar>
          </w:tcPr>
          <w:p w14:paraId="5999E9D1"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DOCK11</w:t>
            </w:r>
          </w:p>
        </w:tc>
        <w:tc>
          <w:tcPr>
            <w:tcW w:w="2908" w:type="dxa"/>
            <w:tcMar>
              <w:top w:w="55" w:type="dxa"/>
              <w:left w:w="55" w:type="dxa"/>
              <w:bottom w:w="55" w:type="dxa"/>
              <w:right w:w="55" w:type="dxa"/>
            </w:tcMar>
          </w:tcPr>
          <w:p w14:paraId="00ABDA82"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 xml:space="preserve">NM_144658:c.C5188T; </w:t>
            </w:r>
            <w:proofErr w:type="gramStart"/>
            <w:r w:rsidRPr="00D70892">
              <w:rPr>
                <w:rFonts w:asciiTheme="majorBidi" w:hAnsiTheme="majorBidi" w:cstheme="majorBidi"/>
                <w:sz w:val="24"/>
                <w:szCs w:val="24"/>
              </w:rPr>
              <w:t>p.R</w:t>
            </w:r>
            <w:proofErr w:type="gramEnd"/>
            <w:r w:rsidRPr="00D70892">
              <w:rPr>
                <w:rFonts w:asciiTheme="majorBidi" w:hAnsiTheme="majorBidi" w:cstheme="majorBidi"/>
                <w:sz w:val="24"/>
                <w:szCs w:val="24"/>
              </w:rPr>
              <w:t>1730C</w:t>
            </w:r>
          </w:p>
        </w:tc>
        <w:tc>
          <w:tcPr>
            <w:tcW w:w="1697" w:type="dxa"/>
            <w:tcMar>
              <w:top w:w="55" w:type="dxa"/>
              <w:left w:w="55" w:type="dxa"/>
              <w:bottom w:w="55" w:type="dxa"/>
              <w:right w:w="55" w:type="dxa"/>
            </w:tcMar>
          </w:tcPr>
          <w:p w14:paraId="5BEA7010"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Missense</w:t>
            </w:r>
          </w:p>
        </w:tc>
        <w:tc>
          <w:tcPr>
            <w:tcW w:w="1350" w:type="dxa"/>
            <w:tcMar>
              <w:top w:w="55" w:type="dxa"/>
              <w:left w:w="55" w:type="dxa"/>
              <w:bottom w:w="55" w:type="dxa"/>
              <w:right w:w="55" w:type="dxa"/>
            </w:tcMar>
          </w:tcPr>
          <w:p w14:paraId="4BD9F08D"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1/1*; 47; 99</w:t>
            </w:r>
          </w:p>
        </w:tc>
        <w:tc>
          <w:tcPr>
            <w:tcW w:w="2166" w:type="dxa"/>
            <w:tcMar>
              <w:top w:w="55" w:type="dxa"/>
              <w:left w:w="55" w:type="dxa"/>
              <w:bottom w:w="55" w:type="dxa"/>
              <w:right w:w="55" w:type="dxa"/>
            </w:tcMar>
          </w:tcPr>
          <w:p w14:paraId="02EE3542"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Strong variant-level evidence; phenotype mismatch</w:t>
            </w:r>
          </w:p>
        </w:tc>
      </w:tr>
      <w:tr w:rsidR="0075670A" w:rsidRPr="00D70892" w14:paraId="2519B8B7" w14:textId="77777777" w:rsidTr="00676347">
        <w:trPr>
          <w:jc w:val="center"/>
        </w:trPr>
        <w:tc>
          <w:tcPr>
            <w:tcW w:w="774" w:type="dxa"/>
            <w:tcMar>
              <w:top w:w="55" w:type="dxa"/>
              <w:left w:w="55" w:type="dxa"/>
              <w:bottom w:w="55" w:type="dxa"/>
              <w:right w:w="55" w:type="dxa"/>
            </w:tcMar>
          </w:tcPr>
          <w:p w14:paraId="7EF76D91" w14:textId="77777777" w:rsidR="0075670A" w:rsidRPr="00D70892" w:rsidRDefault="00000000">
            <w:pPr>
              <w:jc w:val="center"/>
              <w:rPr>
                <w:rFonts w:asciiTheme="majorBidi" w:hAnsiTheme="majorBidi" w:cstheme="majorBidi"/>
                <w:sz w:val="24"/>
                <w:szCs w:val="24"/>
              </w:rPr>
            </w:pPr>
            <w:r w:rsidRPr="00D70892">
              <w:rPr>
                <w:rFonts w:asciiTheme="majorBidi" w:hAnsiTheme="majorBidi" w:cstheme="majorBidi"/>
                <w:sz w:val="24"/>
                <w:szCs w:val="24"/>
              </w:rPr>
              <w:t>4</w:t>
            </w:r>
          </w:p>
        </w:tc>
        <w:tc>
          <w:tcPr>
            <w:tcW w:w="1161" w:type="dxa"/>
            <w:tcMar>
              <w:top w:w="55" w:type="dxa"/>
              <w:left w:w="55" w:type="dxa"/>
              <w:bottom w:w="55" w:type="dxa"/>
              <w:right w:w="55" w:type="dxa"/>
            </w:tcMar>
          </w:tcPr>
          <w:p w14:paraId="7533457B"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SLC6A6</w:t>
            </w:r>
          </w:p>
        </w:tc>
        <w:tc>
          <w:tcPr>
            <w:tcW w:w="2908" w:type="dxa"/>
            <w:tcMar>
              <w:top w:w="55" w:type="dxa"/>
              <w:left w:w="55" w:type="dxa"/>
              <w:bottom w:w="55" w:type="dxa"/>
              <w:right w:w="55" w:type="dxa"/>
            </w:tcMar>
          </w:tcPr>
          <w:p w14:paraId="4AFD6D4E"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NM_</w:t>
            </w:r>
            <w:proofErr w:type="gramStart"/>
            <w:r w:rsidRPr="00D70892">
              <w:rPr>
                <w:rFonts w:asciiTheme="majorBidi" w:hAnsiTheme="majorBidi" w:cstheme="majorBidi"/>
                <w:sz w:val="24"/>
                <w:szCs w:val="24"/>
              </w:rPr>
              <w:t>001134367:c.</w:t>
            </w:r>
            <w:proofErr w:type="gramEnd"/>
            <w:r w:rsidRPr="00D70892">
              <w:rPr>
                <w:rFonts w:asciiTheme="majorBidi" w:hAnsiTheme="majorBidi" w:cstheme="majorBidi"/>
                <w:sz w:val="24"/>
                <w:szCs w:val="24"/>
              </w:rPr>
              <w:t>229+1T&gt;- / c.230-1T&gt;-</w:t>
            </w:r>
          </w:p>
        </w:tc>
        <w:tc>
          <w:tcPr>
            <w:tcW w:w="1697" w:type="dxa"/>
            <w:tcMar>
              <w:top w:w="55" w:type="dxa"/>
              <w:left w:w="55" w:type="dxa"/>
              <w:bottom w:w="55" w:type="dxa"/>
              <w:right w:w="55" w:type="dxa"/>
            </w:tcMar>
          </w:tcPr>
          <w:p w14:paraId="77571948"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Splice-site deletion</w:t>
            </w:r>
          </w:p>
        </w:tc>
        <w:tc>
          <w:tcPr>
            <w:tcW w:w="1350" w:type="dxa"/>
            <w:tcMar>
              <w:top w:w="55" w:type="dxa"/>
              <w:left w:w="55" w:type="dxa"/>
              <w:bottom w:w="55" w:type="dxa"/>
              <w:right w:w="55" w:type="dxa"/>
            </w:tcMar>
          </w:tcPr>
          <w:p w14:paraId="6371D817"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1/1; 23; 69</w:t>
            </w:r>
          </w:p>
        </w:tc>
        <w:tc>
          <w:tcPr>
            <w:tcW w:w="2166" w:type="dxa"/>
            <w:tcMar>
              <w:top w:w="55" w:type="dxa"/>
              <w:left w:w="55" w:type="dxa"/>
              <w:bottom w:w="55" w:type="dxa"/>
              <w:right w:w="55" w:type="dxa"/>
            </w:tcMar>
          </w:tcPr>
          <w:p w14:paraId="217BCAA4"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Strong retinal relevance; incomplete overall fit</w:t>
            </w:r>
          </w:p>
        </w:tc>
      </w:tr>
    </w:tbl>
    <w:p w14:paraId="66D014BA" w14:textId="77777777"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i/>
          <w:sz w:val="24"/>
          <w:szCs w:val="24"/>
        </w:rPr>
        <w:t>*The DOCK11 genotype is reported exactly as supplied by the caller. Because DOCK11 is on chromosome X, biological interpretation depends on sample sex and caller ploidy conventions.</w:t>
      </w:r>
    </w:p>
    <w:p w14:paraId="57B81203" w14:textId="77777777" w:rsidR="0075670A" w:rsidRPr="00D70892" w:rsidRDefault="00000000">
      <w:pPr>
        <w:pStyle w:val="Heading2"/>
        <w:spacing w:after="100" w:line="259" w:lineRule="auto"/>
        <w:rPr>
          <w:rFonts w:asciiTheme="majorBidi" w:hAnsiTheme="majorBidi"/>
          <w:sz w:val="24"/>
          <w:szCs w:val="24"/>
        </w:rPr>
      </w:pPr>
      <w:r w:rsidRPr="00D70892">
        <w:rPr>
          <w:rFonts w:asciiTheme="majorBidi" w:hAnsiTheme="majorBidi"/>
          <w:sz w:val="24"/>
          <w:szCs w:val="24"/>
        </w:rPr>
        <w:t>5.3 Evidence details for the four candidates</w:t>
      </w:r>
    </w:p>
    <w:p w14:paraId="4B97F340" w14:textId="77777777" w:rsidR="0075670A" w:rsidRPr="00D70892" w:rsidRDefault="00000000">
      <w:pPr>
        <w:pStyle w:val="Heading3"/>
        <w:spacing w:after="100" w:line="259" w:lineRule="auto"/>
        <w:rPr>
          <w:rFonts w:asciiTheme="majorBidi" w:hAnsiTheme="majorBidi"/>
          <w:sz w:val="24"/>
          <w:szCs w:val="24"/>
        </w:rPr>
      </w:pPr>
      <w:r w:rsidRPr="00D70892">
        <w:rPr>
          <w:rFonts w:asciiTheme="majorBidi" w:hAnsiTheme="majorBidi"/>
          <w:sz w:val="24"/>
          <w:szCs w:val="24"/>
        </w:rPr>
        <w:t>YY1AP1</w:t>
      </w:r>
    </w:p>
    <w:p w14:paraId="1F5BC940" w14:textId="77777777"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 xml:space="preserve">The YY1AP1 variant is a homozygous PASS missense call with DP 79 and GQ 99. The supplied annotation reports ExAC_ALL 8.26×10⁻⁶, CADD 23.2, SIFT damaging (0.005), PolyPhen-2 HDIV damaging (0.988), PolyPhen-2 HVAR damaging (0.975), and PROVEAN damaging (-2.94). The dataset ClinVar field is “Uncertain significance.” YY1AP1 is an established autosomal-recessive Grange </w:t>
      </w:r>
      <w:r w:rsidRPr="00D70892">
        <w:rPr>
          <w:rFonts w:asciiTheme="majorBidi" w:hAnsiTheme="majorBidi" w:cstheme="majorBidi"/>
          <w:sz w:val="24"/>
          <w:szCs w:val="24"/>
        </w:rPr>
        <w:lastRenderedPageBreak/>
        <w:t>syndrome gene; recent reports continue to describe Grange syndrome as caused by biallelic loss-of-function variants and emphasize vascular, skeletal, cardiac, and variable neurodevelopmental features [2,3]. Because the project variant is missense rather than an established loss-of-function allele, it was retained as the leading candidate but not considered proven pathogenic.</w:t>
      </w:r>
    </w:p>
    <w:p w14:paraId="1F445E6A" w14:textId="77777777" w:rsidR="0075670A" w:rsidRPr="00D70892" w:rsidRDefault="00000000">
      <w:pPr>
        <w:pStyle w:val="Heading3"/>
        <w:spacing w:after="100" w:line="259" w:lineRule="auto"/>
        <w:rPr>
          <w:rFonts w:asciiTheme="majorBidi" w:hAnsiTheme="majorBidi"/>
          <w:sz w:val="24"/>
          <w:szCs w:val="24"/>
        </w:rPr>
      </w:pPr>
      <w:r w:rsidRPr="00D70892">
        <w:rPr>
          <w:rFonts w:asciiTheme="majorBidi" w:hAnsiTheme="majorBidi"/>
          <w:sz w:val="24"/>
          <w:szCs w:val="24"/>
        </w:rPr>
        <w:t>PUS10</w:t>
      </w:r>
    </w:p>
    <w:p w14:paraId="1CE6CAE6" w14:textId="77777777"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PUS10 c.678-1G&gt;T is a homozygous canonical splice-acceptor variant with PASS, DP 46, GQ 99, and CADD 27.3. The supplied splice-prediction scores are dbscSNV ADA 1.000 and RF 0.948, strongly supporting predicted splice disruption. However, current NCBI resources describe PUS10 primarily as a pseudouridine synthase involved in RNA modification and do not establish a Mendelian syndrome matching this case [4]. It was therefore retained as a high-priority research candidate rather than a diagnostic candidate.</w:t>
      </w:r>
    </w:p>
    <w:p w14:paraId="5D028A7B" w14:textId="77777777" w:rsidR="0075670A" w:rsidRPr="00D70892" w:rsidRDefault="00000000" w:rsidP="00676347">
      <w:pPr>
        <w:pStyle w:val="Heading3"/>
        <w:spacing w:after="100" w:line="259" w:lineRule="auto"/>
        <w:jc w:val="both"/>
        <w:rPr>
          <w:rFonts w:asciiTheme="majorBidi" w:hAnsiTheme="majorBidi"/>
          <w:sz w:val="24"/>
          <w:szCs w:val="24"/>
        </w:rPr>
      </w:pPr>
      <w:r w:rsidRPr="00D70892">
        <w:rPr>
          <w:rFonts w:asciiTheme="majorBidi" w:hAnsiTheme="majorBidi"/>
          <w:sz w:val="24"/>
          <w:szCs w:val="24"/>
        </w:rPr>
        <w:t>DOCK11</w:t>
      </w:r>
    </w:p>
    <w:p w14:paraId="458781FA" w14:textId="77777777"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DOCK11 p.R1730C is a rare homozygous-called PASS missense variant with DP 47, GQ 99, CADD 34, damaging SIFT/PolyPhen/PROVEAN predictions, and localization within the DHR-2 domain. Human DOCK11 deficiency is an established X-linked immune-related actinopathy characterized mainly by early-onset autoimmunity/immune dysregulation, with some reports also noting developmental delay [5,6]. The strong variant-level evidence therefore contrasts with weaker overall phenotype concordance in this course case.</w:t>
      </w:r>
    </w:p>
    <w:p w14:paraId="7A921FDF" w14:textId="77777777" w:rsidR="0075670A" w:rsidRPr="00D70892" w:rsidRDefault="00000000" w:rsidP="00676347">
      <w:pPr>
        <w:pStyle w:val="Heading3"/>
        <w:spacing w:after="100" w:line="259" w:lineRule="auto"/>
        <w:jc w:val="both"/>
        <w:rPr>
          <w:rFonts w:asciiTheme="majorBidi" w:hAnsiTheme="majorBidi"/>
          <w:sz w:val="24"/>
          <w:szCs w:val="24"/>
        </w:rPr>
      </w:pPr>
      <w:r w:rsidRPr="00D70892">
        <w:rPr>
          <w:rFonts w:asciiTheme="majorBidi" w:hAnsiTheme="majorBidi"/>
          <w:sz w:val="24"/>
          <w:szCs w:val="24"/>
        </w:rPr>
        <w:t>SLC6A6</w:t>
      </w:r>
    </w:p>
    <w:p w14:paraId="52DD95DD" w14:textId="77777777"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The SLC6A6 call is a homozygous PASS splice-site deletion with DP 23 and GQ 69. The annotation reports rs67559364 and a Kaviar allele frequency of approximately 1.15×10⁻⁴. Biallelic SLC6A6 defects cause taurine transporter deficiency with early retinal degeneration; cardiomyopathy and very low taurine levels have also been reported [7,8]. This gene therefore provides a strong explanation for the visual component but a less complete explanation for the overall developmental phenotype.</w:t>
      </w:r>
    </w:p>
    <w:p w14:paraId="19CB0FB0" w14:textId="77777777" w:rsidR="0075670A" w:rsidRPr="00D70892" w:rsidRDefault="00000000">
      <w:pPr>
        <w:pStyle w:val="Heading1"/>
        <w:spacing w:after="100" w:line="259" w:lineRule="auto"/>
        <w:rPr>
          <w:rFonts w:asciiTheme="majorBidi" w:hAnsiTheme="majorBidi"/>
          <w:sz w:val="24"/>
          <w:szCs w:val="24"/>
        </w:rPr>
      </w:pPr>
      <w:r w:rsidRPr="00D70892">
        <w:rPr>
          <w:rFonts w:asciiTheme="majorBidi" w:hAnsiTheme="majorBidi"/>
          <w:sz w:val="24"/>
          <w:szCs w:val="24"/>
        </w:rPr>
        <w:t>6. Discussion</w:t>
      </w:r>
    </w:p>
    <w:p w14:paraId="1E258298" w14:textId="77777777"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The filtering strategy reduced a very large annotated WES dataset to four biologically interpretable candidates. The exercise demonstrates why variant prioritization cannot be based on predicted consequence or CADD score alone. A convincing candidate should combine variant-level evidence with a credible gene–disease relationship, compatible inheritance, and phenotype concordance.</w:t>
      </w:r>
    </w:p>
    <w:p w14:paraId="200FC8C7" w14:textId="77777777"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YY1AP1 ranked first because it provided the best overall combination of rarity, homozygous genotype, high call quality, damaging predictions, and an established autosomal-recessive disease association. Nevertheless, the exact missense allele remains uncertain, and the known YY1AP1 disease mechanism is dominated by biallelic loss-of-function variants. Accordingly, the available evidence supports prioritization but not causal assignment.</w:t>
      </w:r>
    </w:p>
    <w:p w14:paraId="18963FAE" w14:textId="77777777"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PUS10 illustrates the opposite situation: the variant itself is highly compelling because it disrupts a canonical splice acceptor and has excellent technical and splice-prediction support, but gene-level disease validity is insufficient. This makes it an appropriate research candidate but not a clinically established explanation.</w:t>
      </w:r>
    </w:p>
    <w:p w14:paraId="5715B154" w14:textId="77777777"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 xml:space="preserve">DOCK11 demonstrates that a strong molecular prediction profile can be outweighed by phenotype mismatch. Conversely, SLC6A6 has a clear established disease relationship and strong retinal relevance, </w:t>
      </w:r>
      <w:r w:rsidRPr="00D70892">
        <w:rPr>
          <w:rFonts w:asciiTheme="majorBidi" w:hAnsiTheme="majorBidi" w:cstheme="majorBidi"/>
          <w:sz w:val="24"/>
          <w:szCs w:val="24"/>
        </w:rPr>
        <w:lastRenderedPageBreak/>
        <w:t>but it does not readily account for the entire developmental presentation. These contrasts justify retaining several candidates rather than forcing a single definitive answer from the available data.</w:t>
      </w:r>
    </w:p>
    <w:p w14:paraId="7640C96A" w14:textId="77777777" w:rsidR="0075670A" w:rsidRPr="00D70892" w:rsidRDefault="00000000" w:rsidP="00676347">
      <w:pPr>
        <w:pStyle w:val="Heading2"/>
        <w:spacing w:after="100" w:line="259" w:lineRule="auto"/>
        <w:jc w:val="both"/>
        <w:rPr>
          <w:rFonts w:asciiTheme="majorBidi" w:hAnsiTheme="majorBidi"/>
          <w:sz w:val="24"/>
          <w:szCs w:val="24"/>
        </w:rPr>
      </w:pPr>
      <w:r w:rsidRPr="00D70892">
        <w:rPr>
          <w:rFonts w:asciiTheme="majorBidi" w:hAnsiTheme="majorBidi"/>
          <w:sz w:val="24"/>
          <w:szCs w:val="24"/>
        </w:rPr>
        <w:t>6.1 Why other variants were downgraded</w:t>
      </w:r>
    </w:p>
    <w:p w14:paraId="2E7BE8E9" w14:textId="77777777" w:rsidR="0075670A" w:rsidRPr="00D70892" w:rsidRDefault="00000000" w:rsidP="00676347">
      <w:pPr>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Other variants were reviewed but ranked lower because of one or more of the following: excessive population frequency, benign/conflicting database evidence, weak or unestablished gene–disease validity, phenotype mismatch, low sequencing depth/quality, or occurrence in repetitive/difficult genomic regions. Examples considered during the analysis included PCARE/C2orf71, WDR13, ARHGAP4, AHNAK2, BLZF1, KRTAP5-5, FADS6, LINC00649, and low-depth HLA-DRB5 calls. This review supported the conclusion that the PASS filter had not obviously removed a superior candidate.</w:t>
      </w:r>
    </w:p>
    <w:p w14:paraId="62A300CB" w14:textId="77777777" w:rsidR="0075670A" w:rsidRPr="00D70892" w:rsidRDefault="00000000">
      <w:pPr>
        <w:pStyle w:val="Heading1"/>
        <w:spacing w:after="100" w:line="259" w:lineRule="auto"/>
        <w:rPr>
          <w:rFonts w:asciiTheme="majorBidi" w:hAnsiTheme="majorBidi"/>
          <w:sz w:val="24"/>
          <w:szCs w:val="24"/>
        </w:rPr>
      </w:pPr>
      <w:r w:rsidRPr="00D70892">
        <w:rPr>
          <w:rFonts w:asciiTheme="majorBidi" w:hAnsiTheme="majorBidi"/>
          <w:sz w:val="24"/>
          <w:szCs w:val="24"/>
        </w:rPr>
        <w:t>7. Limitations</w:t>
      </w:r>
    </w:p>
    <w:p w14:paraId="226256E5" w14:textId="77777777" w:rsidR="0075670A" w:rsidRPr="00D70892" w:rsidRDefault="00000000" w:rsidP="0079116C">
      <w:pPr>
        <w:pStyle w:val="ListBullet"/>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Raw sequencing reads and BAM/CRAM files were not available, so read-level alignment and artifact review could not be performed.</w:t>
      </w:r>
    </w:p>
    <w:p w14:paraId="31AC5F4A" w14:textId="77777777" w:rsidR="0075670A" w:rsidRPr="00D70892" w:rsidRDefault="00000000" w:rsidP="0079116C">
      <w:pPr>
        <w:pStyle w:val="ListBullet"/>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Family sequencing/segregation data were not available, preventing confirmation that candidate genotypes segregated with affected status.</w:t>
      </w:r>
    </w:p>
    <w:p w14:paraId="3CD07A64" w14:textId="77777777" w:rsidR="0075670A" w:rsidRPr="00D70892" w:rsidRDefault="00000000" w:rsidP="0079116C">
      <w:pPr>
        <w:pStyle w:val="ListBullet"/>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Computational prediction scores are supporting evidence and cannot independently establish pathogenicity.</w:t>
      </w:r>
    </w:p>
    <w:p w14:paraId="4570CE66" w14:textId="77777777" w:rsidR="0075670A" w:rsidRPr="00D70892" w:rsidRDefault="00000000" w:rsidP="0079116C">
      <w:pPr>
        <w:pStyle w:val="ListBullet"/>
        <w:spacing w:after="100" w:line="259" w:lineRule="auto"/>
        <w:jc w:val="both"/>
        <w:rPr>
          <w:rFonts w:asciiTheme="majorBidi" w:hAnsiTheme="majorBidi" w:cstheme="majorBidi"/>
          <w:sz w:val="24"/>
          <w:szCs w:val="24"/>
        </w:rPr>
      </w:pPr>
      <w:r w:rsidRPr="00D70892">
        <w:rPr>
          <w:rFonts w:asciiTheme="majorBidi" w:hAnsiTheme="majorBidi" w:cstheme="majorBidi"/>
          <w:sz w:val="24"/>
          <w:szCs w:val="24"/>
        </w:rPr>
        <w:t>WES SNV/small-indel analysis may not comprehensively detect or interpret copy-number variants, structural variants, repeat expansions, deep intronic variants, and poorly covered regions.</w:t>
      </w:r>
    </w:p>
    <w:p w14:paraId="1E9D1793" w14:textId="77777777" w:rsidR="0075670A" w:rsidRPr="00D70892" w:rsidRDefault="00000000">
      <w:pPr>
        <w:pStyle w:val="Heading1"/>
        <w:spacing w:after="100" w:line="259" w:lineRule="auto"/>
        <w:rPr>
          <w:rFonts w:asciiTheme="majorBidi" w:hAnsiTheme="majorBidi"/>
          <w:sz w:val="24"/>
          <w:szCs w:val="24"/>
        </w:rPr>
      </w:pPr>
      <w:r w:rsidRPr="00D70892">
        <w:rPr>
          <w:rFonts w:asciiTheme="majorBidi" w:hAnsiTheme="majorBidi"/>
          <w:sz w:val="24"/>
          <w:szCs w:val="24"/>
        </w:rPr>
        <w:t>8. Conclusion</w:t>
      </w:r>
    </w:p>
    <w:p w14:paraId="0B9E35F3" w14:textId="77777777" w:rsidR="0075670A" w:rsidRPr="00D70892" w:rsidRDefault="00000000">
      <w:pPr>
        <w:spacing w:after="100" w:line="259" w:lineRule="auto"/>
        <w:rPr>
          <w:rFonts w:asciiTheme="majorBidi" w:hAnsiTheme="majorBidi" w:cstheme="majorBidi"/>
          <w:sz w:val="24"/>
          <w:szCs w:val="24"/>
        </w:rPr>
      </w:pPr>
      <w:r w:rsidRPr="00D70892">
        <w:rPr>
          <w:rFonts w:asciiTheme="majorBidi" w:hAnsiTheme="majorBidi" w:cstheme="majorBidi"/>
          <w:sz w:val="24"/>
          <w:szCs w:val="24"/>
        </w:rPr>
        <w:t>A stepwise WES analysis reduced 386,518 annotated variants to 71 prioritized working variants and then to 54 high-confidence PASS calls. Integrated interpretation of rarity, genotype, quality, computational predictions, clinical databases, gene–disease validity, inheritance, and phenotype resulted in four prioritized genes: YY1AP1, PUS10, DOCK11, and SLC6A6.</w:t>
      </w:r>
    </w:p>
    <w:p w14:paraId="4F88730F" w14:textId="77777777" w:rsidR="0075670A" w:rsidRPr="00D70892" w:rsidRDefault="00000000">
      <w:pPr>
        <w:spacing w:after="100" w:line="259" w:lineRule="auto"/>
        <w:rPr>
          <w:rFonts w:asciiTheme="majorBidi" w:hAnsiTheme="majorBidi" w:cstheme="majorBidi"/>
          <w:sz w:val="24"/>
          <w:szCs w:val="24"/>
        </w:rPr>
      </w:pPr>
      <w:r w:rsidRPr="00D70892">
        <w:rPr>
          <w:rFonts w:asciiTheme="majorBidi" w:hAnsiTheme="majorBidi" w:cstheme="majorBidi"/>
          <w:sz w:val="24"/>
          <w:szCs w:val="24"/>
        </w:rPr>
        <w:t>YY1AP1 p.L458R was considered the strongest overall clinical candidate from the supplied dataset, while PUS10 c.678-1G&gt;T was the strongest research-level splice candidate. DOCK11 showed strong variant-level evidence but weaker phenotype concordance, and SLC6A6 most strongly matched the retinal component. No definitive disease-causing variant could be established from the supplied data alone. The final result is therefore a ranked candidate list rather than a molecular diagnosis.</w:t>
      </w:r>
    </w:p>
    <w:p w14:paraId="40B2E0BD" w14:textId="77777777" w:rsidR="0075670A" w:rsidRPr="00D70892" w:rsidRDefault="00000000">
      <w:pPr>
        <w:pStyle w:val="Heading1"/>
        <w:spacing w:after="100" w:line="259" w:lineRule="auto"/>
        <w:rPr>
          <w:rFonts w:asciiTheme="majorBidi" w:hAnsiTheme="majorBidi"/>
          <w:sz w:val="24"/>
          <w:szCs w:val="24"/>
        </w:rPr>
      </w:pPr>
      <w:r w:rsidRPr="00D70892">
        <w:rPr>
          <w:rFonts w:asciiTheme="majorBidi" w:hAnsiTheme="majorBidi"/>
          <w:sz w:val="24"/>
          <w:szCs w:val="24"/>
        </w:rPr>
        <w:t>References</w:t>
      </w:r>
    </w:p>
    <w:p w14:paraId="296487C8" w14:textId="77777777" w:rsidR="0075670A" w:rsidRPr="00D70892" w:rsidRDefault="00000000">
      <w:pPr>
        <w:spacing w:after="80" w:line="259" w:lineRule="auto"/>
        <w:rPr>
          <w:rFonts w:asciiTheme="majorBidi" w:hAnsiTheme="majorBidi" w:cstheme="majorBidi"/>
          <w:sz w:val="24"/>
          <w:szCs w:val="24"/>
        </w:rPr>
      </w:pPr>
      <w:r w:rsidRPr="00D70892">
        <w:rPr>
          <w:rFonts w:asciiTheme="majorBidi" w:hAnsiTheme="majorBidi" w:cstheme="majorBidi"/>
          <w:sz w:val="24"/>
          <w:szCs w:val="24"/>
        </w:rPr>
        <w:t xml:space="preserve">1. Richards S, et al. Standards and guidelines for the interpretation of sequence variants: a joint consensus recommendation of the ACMG and AMP. Genetics in Medicine. 2015;17(5):405-424. PMID: 25741868. DOI: 10.1038/gim.2015.30. </w:t>
      </w:r>
      <w:hyperlink r:id="rId11">
        <w:r w:rsidR="0075670A" w:rsidRPr="00D70892">
          <w:rPr>
            <w:rFonts w:asciiTheme="majorBidi" w:hAnsiTheme="majorBidi" w:cstheme="majorBidi"/>
            <w:color w:val="0563C1"/>
            <w:sz w:val="24"/>
            <w:szCs w:val="24"/>
            <w:u w:val="single"/>
          </w:rPr>
          <w:t>PubMed/NCBI</w:t>
        </w:r>
      </w:hyperlink>
    </w:p>
    <w:p w14:paraId="10B9C453" w14:textId="77777777" w:rsidR="0075670A" w:rsidRPr="00D70892" w:rsidRDefault="00000000">
      <w:pPr>
        <w:spacing w:after="80" w:line="259" w:lineRule="auto"/>
        <w:rPr>
          <w:rFonts w:asciiTheme="majorBidi" w:hAnsiTheme="majorBidi" w:cstheme="majorBidi"/>
          <w:sz w:val="24"/>
          <w:szCs w:val="24"/>
        </w:rPr>
      </w:pPr>
      <w:r w:rsidRPr="00D70892">
        <w:rPr>
          <w:rFonts w:asciiTheme="majorBidi" w:hAnsiTheme="majorBidi" w:cstheme="majorBidi"/>
          <w:sz w:val="24"/>
          <w:szCs w:val="24"/>
        </w:rPr>
        <w:t xml:space="preserve">2. Akalın AA, et al. A Novel YY1AP1 Variant in Grange Syndrome: Clinical and Molecular Findings in Eight Individuals. American Journal of Medical Genetics Part A. 2026. PMID: 41998823. </w:t>
      </w:r>
      <w:hyperlink r:id="rId12">
        <w:r w:rsidR="0075670A" w:rsidRPr="00D70892">
          <w:rPr>
            <w:rFonts w:asciiTheme="majorBidi" w:hAnsiTheme="majorBidi" w:cstheme="majorBidi"/>
            <w:color w:val="0563C1"/>
            <w:sz w:val="24"/>
            <w:szCs w:val="24"/>
            <w:u w:val="single"/>
          </w:rPr>
          <w:t>PubMed/NCBI</w:t>
        </w:r>
      </w:hyperlink>
    </w:p>
    <w:p w14:paraId="41AD4E43" w14:textId="77777777" w:rsidR="0075670A" w:rsidRPr="00D70892" w:rsidRDefault="00000000">
      <w:pPr>
        <w:spacing w:after="80" w:line="259" w:lineRule="auto"/>
        <w:rPr>
          <w:rFonts w:asciiTheme="majorBidi" w:hAnsiTheme="majorBidi" w:cstheme="majorBidi"/>
          <w:sz w:val="24"/>
          <w:szCs w:val="24"/>
        </w:rPr>
      </w:pPr>
      <w:r w:rsidRPr="00D70892">
        <w:rPr>
          <w:rFonts w:asciiTheme="majorBidi" w:hAnsiTheme="majorBidi" w:cstheme="majorBidi"/>
          <w:sz w:val="24"/>
          <w:szCs w:val="24"/>
        </w:rPr>
        <w:lastRenderedPageBreak/>
        <w:t xml:space="preserve">3. Unsel-Bolat G, et al. A novel compound heterozygous YY1AP1 variant in Grange syndrome: importance of early signs in preventing life-threatening vascular complications. Journal of Human Genetics. 2026. PMID: 41882341. </w:t>
      </w:r>
      <w:hyperlink r:id="rId13">
        <w:r w:rsidR="0075670A" w:rsidRPr="00D70892">
          <w:rPr>
            <w:rFonts w:asciiTheme="majorBidi" w:hAnsiTheme="majorBidi" w:cstheme="majorBidi"/>
            <w:color w:val="0563C1"/>
            <w:sz w:val="24"/>
            <w:szCs w:val="24"/>
            <w:u w:val="single"/>
          </w:rPr>
          <w:t>PubMed/NCBI</w:t>
        </w:r>
      </w:hyperlink>
    </w:p>
    <w:p w14:paraId="30A03D54" w14:textId="77777777" w:rsidR="0075670A" w:rsidRPr="00D70892" w:rsidRDefault="00000000">
      <w:pPr>
        <w:spacing w:after="80" w:line="259" w:lineRule="auto"/>
        <w:rPr>
          <w:rFonts w:asciiTheme="majorBidi" w:hAnsiTheme="majorBidi" w:cstheme="majorBidi"/>
          <w:sz w:val="24"/>
          <w:szCs w:val="24"/>
        </w:rPr>
      </w:pPr>
      <w:r w:rsidRPr="00D70892">
        <w:rPr>
          <w:rFonts w:asciiTheme="majorBidi" w:hAnsiTheme="majorBidi" w:cstheme="majorBidi"/>
          <w:sz w:val="24"/>
          <w:szCs w:val="24"/>
        </w:rPr>
        <w:t xml:space="preserve">4. NCBI Gene. PUS10 pseudouridine synthase 10 (Gene ID 150962). Accessed August 2026. </w:t>
      </w:r>
      <w:hyperlink r:id="rId14">
        <w:r w:rsidR="0075670A" w:rsidRPr="00D70892">
          <w:rPr>
            <w:rFonts w:asciiTheme="majorBidi" w:hAnsiTheme="majorBidi" w:cstheme="majorBidi"/>
            <w:color w:val="0563C1"/>
            <w:sz w:val="24"/>
            <w:szCs w:val="24"/>
            <w:u w:val="single"/>
          </w:rPr>
          <w:t>PubMed/NCBI</w:t>
        </w:r>
      </w:hyperlink>
    </w:p>
    <w:p w14:paraId="0E5D82F4" w14:textId="77777777" w:rsidR="0075670A" w:rsidRPr="00D70892" w:rsidRDefault="00000000">
      <w:pPr>
        <w:spacing w:after="80" w:line="259" w:lineRule="auto"/>
        <w:rPr>
          <w:rFonts w:asciiTheme="majorBidi" w:hAnsiTheme="majorBidi" w:cstheme="majorBidi"/>
          <w:sz w:val="24"/>
          <w:szCs w:val="24"/>
        </w:rPr>
      </w:pPr>
      <w:r w:rsidRPr="00D70892">
        <w:rPr>
          <w:rFonts w:asciiTheme="majorBidi" w:hAnsiTheme="majorBidi" w:cstheme="majorBidi"/>
          <w:sz w:val="24"/>
          <w:szCs w:val="24"/>
        </w:rPr>
        <w:t xml:space="preserve">5. Boussard C, et al. DOCK11 deficiency in patients with X-linked actinopathy and autoimmunity. Blood. 2023. PMID: 36952639. </w:t>
      </w:r>
      <w:hyperlink r:id="rId15">
        <w:r w:rsidR="0075670A" w:rsidRPr="00D70892">
          <w:rPr>
            <w:rFonts w:asciiTheme="majorBidi" w:hAnsiTheme="majorBidi" w:cstheme="majorBidi"/>
            <w:color w:val="0563C1"/>
            <w:sz w:val="24"/>
            <w:szCs w:val="24"/>
            <w:u w:val="single"/>
          </w:rPr>
          <w:t>PubMed/NCBI</w:t>
        </w:r>
      </w:hyperlink>
    </w:p>
    <w:p w14:paraId="34759066" w14:textId="77777777" w:rsidR="0075670A" w:rsidRPr="00D70892" w:rsidRDefault="00000000">
      <w:pPr>
        <w:spacing w:after="80" w:line="259" w:lineRule="auto"/>
        <w:rPr>
          <w:rFonts w:asciiTheme="majorBidi" w:hAnsiTheme="majorBidi" w:cstheme="majorBidi"/>
          <w:sz w:val="24"/>
          <w:szCs w:val="24"/>
        </w:rPr>
      </w:pPr>
      <w:r w:rsidRPr="00D70892">
        <w:rPr>
          <w:rFonts w:asciiTheme="majorBidi" w:hAnsiTheme="majorBidi" w:cstheme="majorBidi"/>
          <w:sz w:val="24"/>
          <w:szCs w:val="24"/>
        </w:rPr>
        <w:t xml:space="preserve">6. Block J, et al. Systemic Inflammation and Normocytic Anemia in DOCK11 Deficiency. New England Journal of Medicine. 2023. PMID: 37342957. </w:t>
      </w:r>
      <w:hyperlink r:id="rId16">
        <w:r w:rsidR="0075670A" w:rsidRPr="00D70892">
          <w:rPr>
            <w:rFonts w:asciiTheme="majorBidi" w:hAnsiTheme="majorBidi" w:cstheme="majorBidi"/>
            <w:color w:val="0563C1"/>
            <w:sz w:val="24"/>
            <w:szCs w:val="24"/>
            <w:u w:val="single"/>
          </w:rPr>
          <w:t>PubMed/NCBI</w:t>
        </w:r>
      </w:hyperlink>
    </w:p>
    <w:p w14:paraId="1D317704" w14:textId="77777777" w:rsidR="0075670A" w:rsidRPr="00D70892" w:rsidRDefault="00000000">
      <w:pPr>
        <w:spacing w:after="80" w:line="259" w:lineRule="auto"/>
        <w:rPr>
          <w:rFonts w:asciiTheme="majorBidi" w:hAnsiTheme="majorBidi" w:cstheme="majorBidi"/>
          <w:sz w:val="24"/>
          <w:szCs w:val="24"/>
        </w:rPr>
      </w:pPr>
      <w:r w:rsidRPr="00D70892">
        <w:rPr>
          <w:rFonts w:asciiTheme="majorBidi" w:hAnsiTheme="majorBidi" w:cstheme="majorBidi"/>
          <w:sz w:val="24"/>
          <w:szCs w:val="24"/>
        </w:rPr>
        <w:t xml:space="preserve">7. Preising MN, et al. Biallelic mutation of human SLC6A6 encoding the taurine transporter TAUT is linked to early retinal degeneration. FASEB Journal. 2019. PMID: 31345061. </w:t>
      </w:r>
      <w:hyperlink r:id="rId17">
        <w:r w:rsidR="0075670A" w:rsidRPr="00D70892">
          <w:rPr>
            <w:rFonts w:asciiTheme="majorBidi" w:hAnsiTheme="majorBidi" w:cstheme="majorBidi"/>
            <w:color w:val="0563C1"/>
            <w:sz w:val="24"/>
            <w:szCs w:val="24"/>
            <w:u w:val="single"/>
          </w:rPr>
          <w:t>PubMed/NCBI</w:t>
        </w:r>
      </w:hyperlink>
    </w:p>
    <w:p w14:paraId="0DAFA5C1" w14:textId="77777777" w:rsidR="0075670A" w:rsidRPr="00D70892" w:rsidRDefault="00000000">
      <w:pPr>
        <w:spacing w:after="80" w:line="259" w:lineRule="auto"/>
        <w:rPr>
          <w:rFonts w:asciiTheme="majorBidi" w:hAnsiTheme="majorBidi" w:cstheme="majorBidi"/>
          <w:sz w:val="24"/>
          <w:szCs w:val="24"/>
        </w:rPr>
      </w:pPr>
      <w:r w:rsidRPr="00D70892">
        <w:rPr>
          <w:rFonts w:asciiTheme="majorBidi" w:hAnsiTheme="majorBidi" w:cstheme="majorBidi"/>
          <w:sz w:val="24"/>
          <w:szCs w:val="24"/>
        </w:rPr>
        <w:t xml:space="preserve">8. Ansar M, et al. Taurine treatment of retinal degeneration and cardiomyopathy in a consanguineous family with SLC6A6 taurine transporter deficiency. Human Molecular Genetics. 2020;29(4):618-623. PMID: 31903486. </w:t>
      </w:r>
      <w:hyperlink r:id="rId18">
        <w:r w:rsidR="0075670A" w:rsidRPr="00D70892">
          <w:rPr>
            <w:rFonts w:asciiTheme="majorBidi" w:hAnsiTheme="majorBidi" w:cstheme="majorBidi"/>
            <w:color w:val="0563C1"/>
            <w:sz w:val="24"/>
            <w:szCs w:val="24"/>
            <w:u w:val="single"/>
          </w:rPr>
          <w:t>PubMed/NCBI</w:t>
        </w:r>
      </w:hyperlink>
    </w:p>
    <w:p w14:paraId="267693AA" w14:textId="77777777" w:rsidR="0075670A" w:rsidRPr="00D70892" w:rsidRDefault="00000000">
      <w:pPr>
        <w:spacing w:after="100" w:line="259" w:lineRule="auto"/>
        <w:rPr>
          <w:rFonts w:asciiTheme="majorBidi" w:hAnsiTheme="majorBidi" w:cstheme="majorBidi"/>
          <w:sz w:val="24"/>
          <w:szCs w:val="24"/>
        </w:rPr>
      </w:pPr>
      <w:r w:rsidRPr="00D70892">
        <w:rPr>
          <w:rFonts w:asciiTheme="majorBidi" w:hAnsiTheme="majorBidi" w:cstheme="majorBidi"/>
          <w:sz w:val="24"/>
          <w:szCs w:val="24"/>
        </w:rPr>
        <w:br w:type="page"/>
      </w:r>
    </w:p>
    <w:p w14:paraId="2E0B9D3A" w14:textId="77777777" w:rsidR="0075670A" w:rsidRPr="00D70892" w:rsidRDefault="00000000">
      <w:pPr>
        <w:pStyle w:val="Heading1"/>
        <w:spacing w:after="100" w:line="259" w:lineRule="auto"/>
        <w:rPr>
          <w:rFonts w:asciiTheme="majorBidi" w:hAnsiTheme="majorBidi"/>
          <w:sz w:val="24"/>
          <w:szCs w:val="24"/>
        </w:rPr>
      </w:pPr>
      <w:r w:rsidRPr="00D70892">
        <w:rPr>
          <w:rFonts w:asciiTheme="majorBidi" w:hAnsiTheme="majorBidi"/>
          <w:sz w:val="24"/>
          <w:szCs w:val="24"/>
        </w:rPr>
        <w:lastRenderedPageBreak/>
        <w:t xml:space="preserve">Appendix A. Key Variant Evidence </w:t>
      </w:r>
      <w:proofErr w:type="gramStart"/>
      <w:r w:rsidRPr="00D70892">
        <w:rPr>
          <w:rFonts w:asciiTheme="majorBidi" w:hAnsiTheme="majorBidi"/>
          <w:sz w:val="24"/>
          <w:szCs w:val="24"/>
        </w:rPr>
        <w:t>From</w:t>
      </w:r>
      <w:proofErr w:type="gramEnd"/>
      <w:r w:rsidRPr="00D70892">
        <w:rPr>
          <w:rFonts w:asciiTheme="majorBidi" w:hAnsiTheme="majorBidi"/>
          <w:sz w:val="24"/>
          <w:szCs w:val="24"/>
        </w:rPr>
        <w:t xml:space="preserve"> the Supplied Dataset</w:t>
      </w:r>
    </w:p>
    <w:tbl>
      <w:tblPr>
        <w:tblStyle w:val="TableGrid"/>
        <w:tblW w:w="0" w:type="auto"/>
        <w:jc w:val="center"/>
        <w:tblLook w:val="04A0" w:firstRow="1" w:lastRow="0" w:firstColumn="1" w:lastColumn="0" w:noHBand="0" w:noVBand="1"/>
      </w:tblPr>
      <w:tblGrid>
        <w:gridCol w:w="1080"/>
        <w:gridCol w:w="2338"/>
        <w:gridCol w:w="2538"/>
        <w:gridCol w:w="1777"/>
        <w:gridCol w:w="2193"/>
      </w:tblGrid>
      <w:tr w:rsidR="0075670A" w:rsidRPr="00D70892" w14:paraId="184B54A4" w14:textId="77777777" w:rsidTr="0079116C">
        <w:trPr>
          <w:tblHeader/>
          <w:jc w:val="center"/>
        </w:trPr>
        <w:tc>
          <w:tcPr>
            <w:tcW w:w="1080" w:type="dxa"/>
            <w:shd w:val="clear" w:color="auto" w:fill="D9E2F3"/>
            <w:tcMar>
              <w:top w:w="60" w:type="dxa"/>
              <w:left w:w="60" w:type="dxa"/>
              <w:bottom w:w="60" w:type="dxa"/>
              <w:right w:w="60" w:type="dxa"/>
            </w:tcMar>
          </w:tcPr>
          <w:p w14:paraId="0E9B83F4" w14:textId="77777777" w:rsidR="0075670A" w:rsidRPr="00D70892" w:rsidRDefault="00000000">
            <w:pPr>
              <w:rPr>
                <w:rFonts w:asciiTheme="majorBidi" w:hAnsiTheme="majorBidi" w:cstheme="majorBidi"/>
                <w:sz w:val="24"/>
                <w:szCs w:val="24"/>
              </w:rPr>
            </w:pPr>
            <w:r w:rsidRPr="00D70892">
              <w:rPr>
                <w:rFonts w:asciiTheme="majorBidi" w:hAnsiTheme="majorBidi" w:cstheme="majorBidi"/>
                <w:b/>
                <w:sz w:val="24"/>
                <w:szCs w:val="24"/>
              </w:rPr>
              <w:t>Gene</w:t>
            </w:r>
          </w:p>
        </w:tc>
        <w:tc>
          <w:tcPr>
            <w:tcW w:w="2340" w:type="dxa"/>
            <w:shd w:val="clear" w:color="auto" w:fill="D9E2F3"/>
            <w:tcMar>
              <w:top w:w="60" w:type="dxa"/>
              <w:left w:w="60" w:type="dxa"/>
              <w:bottom w:w="60" w:type="dxa"/>
              <w:right w:w="60" w:type="dxa"/>
            </w:tcMar>
          </w:tcPr>
          <w:p w14:paraId="7F21DEDC" w14:textId="77777777" w:rsidR="0075670A" w:rsidRPr="00D70892" w:rsidRDefault="00000000">
            <w:pPr>
              <w:rPr>
                <w:rFonts w:asciiTheme="majorBidi" w:hAnsiTheme="majorBidi" w:cstheme="majorBidi"/>
                <w:sz w:val="24"/>
                <w:szCs w:val="24"/>
              </w:rPr>
            </w:pPr>
            <w:r w:rsidRPr="00D70892">
              <w:rPr>
                <w:rFonts w:asciiTheme="majorBidi" w:hAnsiTheme="majorBidi" w:cstheme="majorBidi"/>
                <w:b/>
                <w:sz w:val="24"/>
                <w:szCs w:val="24"/>
              </w:rPr>
              <w:t>Population / rarity</w:t>
            </w:r>
          </w:p>
        </w:tc>
        <w:tc>
          <w:tcPr>
            <w:tcW w:w="2541" w:type="dxa"/>
            <w:shd w:val="clear" w:color="auto" w:fill="D9E2F3"/>
            <w:tcMar>
              <w:top w:w="60" w:type="dxa"/>
              <w:left w:w="60" w:type="dxa"/>
              <w:bottom w:w="60" w:type="dxa"/>
              <w:right w:w="60" w:type="dxa"/>
            </w:tcMar>
          </w:tcPr>
          <w:p w14:paraId="516F991A" w14:textId="77777777" w:rsidR="0075670A" w:rsidRPr="00D70892" w:rsidRDefault="00000000">
            <w:pPr>
              <w:rPr>
                <w:rFonts w:asciiTheme="majorBidi" w:hAnsiTheme="majorBidi" w:cstheme="majorBidi"/>
                <w:sz w:val="24"/>
                <w:szCs w:val="24"/>
              </w:rPr>
            </w:pPr>
            <w:r w:rsidRPr="00D70892">
              <w:rPr>
                <w:rFonts w:asciiTheme="majorBidi" w:hAnsiTheme="majorBidi" w:cstheme="majorBidi"/>
                <w:b/>
                <w:sz w:val="24"/>
                <w:szCs w:val="24"/>
              </w:rPr>
              <w:t>Prediction evidence</w:t>
            </w:r>
          </w:p>
        </w:tc>
        <w:tc>
          <w:tcPr>
            <w:tcW w:w="1779" w:type="dxa"/>
            <w:shd w:val="clear" w:color="auto" w:fill="D9E2F3"/>
            <w:tcMar>
              <w:top w:w="60" w:type="dxa"/>
              <w:left w:w="60" w:type="dxa"/>
              <w:bottom w:w="60" w:type="dxa"/>
              <w:right w:w="60" w:type="dxa"/>
            </w:tcMar>
          </w:tcPr>
          <w:p w14:paraId="41516BF6" w14:textId="77777777" w:rsidR="0075670A" w:rsidRPr="00D70892" w:rsidRDefault="00000000">
            <w:pPr>
              <w:rPr>
                <w:rFonts w:asciiTheme="majorBidi" w:hAnsiTheme="majorBidi" w:cstheme="majorBidi"/>
                <w:sz w:val="24"/>
                <w:szCs w:val="24"/>
              </w:rPr>
            </w:pPr>
            <w:r w:rsidRPr="00D70892">
              <w:rPr>
                <w:rFonts w:asciiTheme="majorBidi" w:hAnsiTheme="majorBidi" w:cstheme="majorBidi"/>
                <w:b/>
                <w:sz w:val="24"/>
                <w:szCs w:val="24"/>
              </w:rPr>
              <w:t>Quality</w:t>
            </w:r>
          </w:p>
        </w:tc>
        <w:tc>
          <w:tcPr>
            <w:tcW w:w="2195" w:type="dxa"/>
            <w:shd w:val="clear" w:color="auto" w:fill="D9E2F3"/>
            <w:tcMar>
              <w:top w:w="60" w:type="dxa"/>
              <w:left w:w="60" w:type="dxa"/>
              <w:bottom w:w="60" w:type="dxa"/>
              <w:right w:w="60" w:type="dxa"/>
            </w:tcMar>
          </w:tcPr>
          <w:p w14:paraId="6BA79D52" w14:textId="77777777" w:rsidR="0075670A" w:rsidRPr="00D70892" w:rsidRDefault="00000000">
            <w:pPr>
              <w:rPr>
                <w:rFonts w:asciiTheme="majorBidi" w:hAnsiTheme="majorBidi" w:cstheme="majorBidi"/>
                <w:sz w:val="24"/>
                <w:szCs w:val="24"/>
              </w:rPr>
            </w:pPr>
            <w:r w:rsidRPr="00D70892">
              <w:rPr>
                <w:rFonts w:asciiTheme="majorBidi" w:hAnsiTheme="majorBidi" w:cstheme="majorBidi"/>
                <w:b/>
                <w:sz w:val="24"/>
                <w:szCs w:val="24"/>
              </w:rPr>
              <w:t>Dataset classification</w:t>
            </w:r>
          </w:p>
        </w:tc>
      </w:tr>
      <w:tr w:rsidR="0075670A" w:rsidRPr="00D70892" w14:paraId="20C1495B" w14:textId="77777777" w:rsidTr="0079116C">
        <w:trPr>
          <w:jc w:val="center"/>
        </w:trPr>
        <w:tc>
          <w:tcPr>
            <w:tcW w:w="1080" w:type="dxa"/>
            <w:tcMar>
              <w:top w:w="55" w:type="dxa"/>
              <w:left w:w="55" w:type="dxa"/>
              <w:bottom w:w="55" w:type="dxa"/>
              <w:right w:w="55" w:type="dxa"/>
            </w:tcMar>
          </w:tcPr>
          <w:p w14:paraId="1CFAE92D"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YY1AP1</w:t>
            </w:r>
          </w:p>
        </w:tc>
        <w:tc>
          <w:tcPr>
            <w:tcW w:w="2340" w:type="dxa"/>
            <w:tcMar>
              <w:top w:w="55" w:type="dxa"/>
              <w:left w:w="55" w:type="dxa"/>
              <w:bottom w:w="55" w:type="dxa"/>
              <w:right w:w="55" w:type="dxa"/>
            </w:tcMar>
          </w:tcPr>
          <w:p w14:paraId="60D035C4"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ExAC_ALL 8.26×10⁻⁶</w:t>
            </w:r>
          </w:p>
        </w:tc>
        <w:tc>
          <w:tcPr>
            <w:tcW w:w="2541" w:type="dxa"/>
            <w:tcMar>
              <w:top w:w="55" w:type="dxa"/>
              <w:left w:w="55" w:type="dxa"/>
              <w:bottom w:w="55" w:type="dxa"/>
              <w:right w:w="55" w:type="dxa"/>
            </w:tcMar>
          </w:tcPr>
          <w:p w14:paraId="2EAB98EA"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SIFT D 0.005; PolyPhen HDIV D 0.988; HVAR D 0.975; PROVEAN D -2.94; CADD 23.2</w:t>
            </w:r>
          </w:p>
        </w:tc>
        <w:tc>
          <w:tcPr>
            <w:tcW w:w="1779" w:type="dxa"/>
            <w:tcMar>
              <w:top w:w="55" w:type="dxa"/>
              <w:left w:w="55" w:type="dxa"/>
              <w:bottom w:w="55" w:type="dxa"/>
              <w:right w:w="55" w:type="dxa"/>
            </w:tcMar>
          </w:tcPr>
          <w:p w14:paraId="08161464"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PASS; DP79; GQ99</w:t>
            </w:r>
          </w:p>
        </w:tc>
        <w:tc>
          <w:tcPr>
            <w:tcW w:w="2195" w:type="dxa"/>
            <w:tcMar>
              <w:top w:w="55" w:type="dxa"/>
              <w:left w:w="55" w:type="dxa"/>
              <w:bottom w:w="55" w:type="dxa"/>
              <w:right w:w="55" w:type="dxa"/>
            </w:tcMar>
          </w:tcPr>
          <w:p w14:paraId="5218E977"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Uncertain significance</w:t>
            </w:r>
          </w:p>
        </w:tc>
      </w:tr>
      <w:tr w:rsidR="0075670A" w:rsidRPr="00D70892" w14:paraId="37C587EB" w14:textId="77777777" w:rsidTr="0079116C">
        <w:trPr>
          <w:jc w:val="center"/>
        </w:trPr>
        <w:tc>
          <w:tcPr>
            <w:tcW w:w="1080" w:type="dxa"/>
            <w:tcMar>
              <w:top w:w="55" w:type="dxa"/>
              <w:left w:w="55" w:type="dxa"/>
              <w:bottom w:w="55" w:type="dxa"/>
              <w:right w:w="55" w:type="dxa"/>
            </w:tcMar>
          </w:tcPr>
          <w:p w14:paraId="3227FAB5"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PUS10</w:t>
            </w:r>
          </w:p>
        </w:tc>
        <w:tc>
          <w:tcPr>
            <w:tcW w:w="2340" w:type="dxa"/>
            <w:tcMar>
              <w:top w:w="55" w:type="dxa"/>
              <w:left w:w="55" w:type="dxa"/>
              <w:bottom w:w="55" w:type="dxa"/>
              <w:right w:w="55" w:type="dxa"/>
            </w:tcMar>
          </w:tcPr>
          <w:p w14:paraId="42C9B2A4"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No frequency reported in available ExAC/1000G fields</w:t>
            </w:r>
          </w:p>
        </w:tc>
        <w:tc>
          <w:tcPr>
            <w:tcW w:w="2541" w:type="dxa"/>
            <w:tcMar>
              <w:top w:w="55" w:type="dxa"/>
              <w:left w:w="55" w:type="dxa"/>
              <w:bottom w:w="55" w:type="dxa"/>
              <w:right w:w="55" w:type="dxa"/>
            </w:tcMar>
          </w:tcPr>
          <w:p w14:paraId="4ED722F5"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Canonical -1 splice; CADD 27.3; dbscSNV ADA 1.000; RF 0.948</w:t>
            </w:r>
          </w:p>
        </w:tc>
        <w:tc>
          <w:tcPr>
            <w:tcW w:w="1779" w:type="dxa"/>
            <w:tcMar>
              <w:top w:w="55" w:type="dxa"/>
              <w:left w:w="55" w:type="dxa"/>
              <w:bottom w:w="55" w:type="dxa"/>
              <w:right w:w="55" w:type="dxa"/>
            </w:tcMar>
          </w:tcPr>
          <w:p w14:paraId="2E64E1A1"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PASS; DP46; GQ99</w:t>
            </w:r>
          </w:p>
        </w:tc>
        <w:tc>
          <w:tcPr>
            <w:tcW w:w="2195" w:type="dxa"/>
            <w:tcMar>
              <w:top w:w="55" w:type="dxa"/>
              <w:left w:w="55" w:type="dxa"/>
              <w:bottom w:w="55" w:type="dxa"/>
              <w:right w:w="55" w:type="dxa"/>
            </w:tcMar>
          </w:tcPr>
          <w:p w14:paraId="6F30A20C"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No ClinVar classification in supplied annotation</w:t>
            </w:r>
          </w:p>
        </w:tc>
      </w:tr>
      <w:tr w:rsidR="0075670A" w:rsidRPr="00D70892" w14:paraId="4864B707" w14:textId="77777777" w:rsidTr="0079116C">
        <w:trPr>
          <w:jc w:val="center"/>
        </w:trPr>
        <w:tc>
          <w:tcPr>
            <w:tcW w:w="1080" w:type="dxa"/>
            <w:tcMar>
              <w:top w:w="55" w:type="dxa"/>
              <w:left w:w="55" w:type="dxa"/>
              <w:bottom w:w="55" w:type="dxa"/>
              <w:right w:w="55" w:type="dxa"/>
            </w:tcMar>
          </w:tcPr>
          <w:p w14:paraId="2FFC08E1"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DOCK11</w:t>
            </w:r>
          </w:p>
        </w:tc>
        <w:tc>
          <w:tcPr>
            <w:tcW w:w="2340" w:type="dxa"/>
            <w:tcMar>
              <w:top w:w="55" w:type="dxa"/>
              <w:left w:w="55" w:type="dxa"/>
              <w:bottom w:w="55" w:type="dxa"/>
              <w:right w:w="55" w:type="dxa"/>
            </w:tcMar>
          </w:tcPr>
          <w:p w14:paraId="72ED76A7"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ExAC_ALL 2.30×10⁻⁵; Kaviar 1.94×10⁻⁵</w:t>
            </w:r>
          </w:p>
        </w:tc>
        <w:tc>
          <w:tcPr>
            <w:tcW w:w="2541" w:type="dxa"/>
            <w:tcMar>
              <w:top w:w="55" w:type="dxa"/>
              <w:left w:w="55" w:type="dxa"/>
              <w:bottom w:w="55" w:type="dxa"/>
              <w:right w:w="55" w:type="dxa"/>
            </w:tcMar>
          </w:tcPr>
          <w:p w14:paraId="1AEDD97C"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SIFT D 0; PolyPhen HDIV D 1.0; HVAR D 0.913; PROVEAN D -6.49; CADD 34</w:t>
            </w:r>
          </w:p>
        </w:tc>
        <w:tc>
          <w:tcPr>
            <w:tcW w:w="1779" w:type="dxa"/>
            <w:tcMar>
              <w:top w:w="55" w:type="dxa"/>
              <w:left w:w="55" w:type="dxa"/>
              <w:bottom w:w="55" w:type="dxa"/>
              <w:right w:w="55" w:type="dxa"/>
            </w:tcMar>
          </w:tcPr>
          <w:p w14:paraId="31BD246B"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PASS; DP47; GQ99</w:t>
            </w:r>
          </w:p>
        </w:tc>
        <w:tc>
          <w:tcPr>
            <w:tcW w:w="2195" w:type="dxa"/>
            <w:tcMar>
              <w:top w:w="55" w:type="dxa"/>
              <w:left w:w="55" w:type="dxa"/>
              <w:bottom w:w="55" w:type="dxa"/>
              <w:right w:w="55" w:type="dxa"/>
            </w:tcMar>
          </w:tcPr>
          <w:p w14:paraId="402AE374"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Uncertain significance</w:t>
            </w:r>
          </w:p>
        </w:tc>
      </w:tr>
      <w:tr w:rsidR="0075670A" w:rsidRPr="00D70892" w14:paraId="05DBFB1A" w14:textId="77777777" w:rsidTr="0079116C">
        <w:trPr>
          <w:jc w:val="center"/>
        </w:trPr>
        <w:tc>
          <w:tcPr>
            <w:tcW w:w="1080" w:type="dxa"/>
            <w:tcMar>
              <w:top w:w="55" w:type="dxa"/>
              <w:left w:w="55" w:type="dxa"/>
              <w:bottom w:w="55" w:type="dxa"/>
              <w:right w:w="55" w:type="dxa"/>
            </w:tcMar>
          </w:tcPr>
          <w:p w14:paraId="5ACE51DF"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SLC6A6</w:t>
            </w:r>
          </w:p>
        </w:tc>
        <w:tc>
          <w:tcPr>
            <w:tcW w:w="2340" w:type="dxa"/>
            <w:tcMar>
              <w:top w:w="55" w:type="dxa"/>
              <w:left w:w="55" w:type="dxa"/>
              <w:bottom w:w="55" w:type="dxa"/>
              <w:right w:w="55" w:type="dxa"/>
            </w:tcMar>
          </w:tcPr>
          <w:p w14:paraId="3827B90B"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Kaviar ~1.15×10⁻⁴</w:t>
            </w:r>
          </w:p>
        </w:tc>
        <w:tc>
          <w:tcPr>
            <w:tcW w:w="2541" w:type="dxa"/>
            <w:tcMar>
              <w:top w:w="55" w:type="dxa"/>
              <w:left w:w="55" w:type="dxa"/>
              <w:bottom w:w="55" w:type="dxa"/>
              <w:right w:w="55" w:type="dxa"/>
            </w:tcMar>
          </w:tcPr>
          <w:p w14:paraId="66F2BD73"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Canonical splice-boundary deletion; no missense scores applicable</w:t>
            </w:r>
          </w:p>
        </w:tc>
        <w:tc>
          <w:tcPr>
            <w:tcW w:w="1779" w:type="dxa"/>
            <w:tcMar>
              <w:top w:w="55" w:type="dxa"/>
              <w:left w:w="55" w:type="dxa"/>
              <w:bottom w:w="55" w:type="dxa"/>
              <w:right w:w="55" w:type="dxa"/>
            </w:tcMar>
          </w:tcPr>
          <w:p w14:paraId="095AD88C"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PASS; DP23; GQ69</w:t>
            </w:r>
          </w:p>
        </w:tc>
        <w:tc>
          <w:tcPr>
            <w:tcW w:w="2195" w:type="dxa"/>
            <w:tcMar>
              <w:top w:w="55" w:type="dxa"/>
              <w:left w:w="55" w:type="dxa"/>
              <w:bottom w:w="55" w:type="dxa"/>
              <w:right w:w="55" w:type="dxa"/>
            </w:tcMar>
          </w:tcPr>
          <w:p w14:paraId="7D321852" w14:textId="77777777" w:rsidR="0075670A" w:rsidRPr="00D70892" w:rsidRDefault="00000000">
            <w:pPr>
              <w:rPr>
                <w:rFonts w:asciiTheme="majorBidi" w:hAnsiTheme="majorBidi" w:cstheme="majorBidi"/>
                <w:sz w:val="24"/>
                <w:szCs w:val="24"/>
              </w:rPr>
            </w:pPr>
            <w:r w:rsidRPr="00D70892">
              <w:rPr>
                <w:rFonts w:asciiTheme="majorBidi" w:hAnsiTheme="majorBidi" w:cstheme="majorBidi"/>
                <w:sz w:val="24"/>
                <w:szCs w:val="24"/>
              </w:rPr>
              <w:t>No ClinVar classification in supplied annotation</w:t>
            </w:r>
          </w:p>
        </w:tc>
      </w:tr>
    </w:tbl>
    <w:p w14:paraId="0841E687" w14:textId="77777777" w:rsidR="0079116C" w:rsidRDefault="0079116C">
      <w:pPr>
        <w:spacing w:after="100" w:line="259" w:lineRule="auto"/>
        <w:rPr>
          <w:rFonts w:asciiTheme="majorBidi" w:hAnsiTheme="majorBidi" w:cstheme="majorBidi"/>
          <w:b/>
          <w:sz w:val="24"/>
          <w:szCs w:val="24"/>
        </w:rPr>
      </w:pPr>
    </w:p>
    <w:p w14:paraId="0546AF76" w14:textId="77777777" w:rsidR="0079116C" w:rsidRDefault="0079116C" w:rsidP="0079116C">
      <w:pPr>
        <w:spacing w:after="100"/>
        <w:rPr>
          <w:rFonts w:asciiTheme="majorBidi" w:hAnsiTheme="majorBidi" w:cstheme="majorBidi"/>
          <w:b/>
          <w:sz w:val="24"/>
          <w:szCs w:val="24"/>
        </w:rPr>
      </w:pPr>
    </w:p>
    <w:p w14:paraId="633CCAEB" w14:textId="67C4D5B0" w:rsidR="0075670A" w:rsidRPr="00D70892" w:rsidRDefault="00000000" w:rsidP="0079116C">
      <w:pPr>
        <w:spacing w:after="100"/>
        <w:rPr>
          <w:rFonts w:asciiTheme="majorBidi" w:hAnsiTheme="majorBidi" w:cstheme="majorBidi"/>
          <w:sz w:val="24"/>
          <w:szCs w:val="24"/>
        </w:rPr>
      </w:pPr>
      <w:r w:rsidRPr="00D70892">
        <w:rPr>
          <w:rFonts w:asciiTheme="majorBidi" w:hAnsiTheme="majorBidi" w:cstheme="majorBidi"/>
          <w:b/>
          <w:sz w:val="24"/>
          <w:szCs w:val="24"/>
        </w:rPr>
        <w:t xml:space="preserve">Data provenance note: </w:t>
      </w:r>
      <w:r w:rsidRPr="00D70892">
        <w:rPr>
          <w:rFonts w:asciiTheme="majorBidi" w:hAnsiTheme="majorBidi" w:cstheme="majorBidi"/>
          <w:sz w:val="24"/>
          <w:szCs w:val="24"/>
        </w:rPr>
        <w:t>Variant counts, genotypes, quality metrics, population annotations, and in-silico scores in this report were taken from the supplied course dataset and the filtered variant table. Disease/gene context was cross-checked against the cited public sources as of August 2026.</w:t>
      </w:r>
    </w:p>
    <w:sectPr w:rsidR="0075670A" w:rsidRPr="00D70892" w:rsidSect="00034616">
      <w:headerReference w:type="default" r:id="rId19"/>
      <w:footerReference w:type="default" r:id="rId2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FD1787" w14:textId="77777777" w:rsidR="00BA22A5" w:rsidRDefault="00BA22A5">
      <w:pPr>
        <w:spacing w:after="0" w:line="240" w:lineRule="auto"/>
      </w:pPr>
      <w:r>
        <w:separator/>
      </w:r>
    </w:p>
  </w:endnote>
  <w:endnote w:type="continuationSeparator" w:id="0">
    <w:p w14:paraId="6D5BD41A" w14:textId="77777777" w:rsidR="00BA22A5" w:rsidRDefault="00BA2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420AAC" w14:textId="77777777" w:rsidR="0075670A" w:rsidRDefault="00000000">
    <w:pPr>
      <w:pStyle w:val="Footer"/>
      <w:jc w:val="right"/>
    </w:pPr>
    <w:r>
      <w:rPr>
        <w:sz w:val="16"/>
      </w:rPr>
      <w:t xml:space="preserve">Page </w:t>
    </w:r>
    <w:r>
      <w:rPr>
        <w:sz w:val="16"/>
      </w:rPr>
      <w:fldChar w:fldCharType="begin"/>
    </w:r>
    <w:r>
      <w:rPr>
        <w:sz w:val="16"/>
      </w:rPr>
      <w:instrText xml:space="preserve"> PAGE </w:instrText>
    </w:r>
    <w:r>
      <w:rPr>
        <w:sz w:val="16"/>
      </w:rPr>
      <w:fldChar w:fldCharType="separate"/>
    </w:r>
    <w:r w:rsidR="00456908">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8BCBB4" w14:textId="77777777" w:rsidR="00BA22A5" w:rsidRDefault="00BA22A5">
      <w:pPr>
        <w:spacing w:after="0" w:line="240" w:lineRule="auto"/>
      </w:pPr>
      <w:r>
        <w:separator/>
      </w:r>
    </w:p>
  </w:footnote>
  <w:footnote w:type="continuationSeparator" w:id="0">
    <w:p w14:paraId="121C17A3" w14:textId="77777777" w:rsidR="00BA22A5" w:rsidRDefault="00BA2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9AB2A1" w14:textId="174D925D" w:rsidR="0075670A" w:rsidRDefault="0075670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1755627">
    <w:abstractNumId w:val="8"/>
  </w:num>
  <w:num w:numId="2" w16cid:durableId="716205101">
    <w:abstractNumId w:val="6"/>
  </w:num>
  <w:num w:numId="3" w16cid:durableId="938369230">
    <w:abstractNumId w:val="5"/>
  </w:num>
  <w:num w:numId="4" w16cid:durableId="855847580">
    <w:abstractNumId w:val="4"/>
  </w:num>
  <w:num w:numId="5" w16cid:durableId="1753505106">
    <w:abstractNumId w:val="7"/>
  </w:num>
  <w:num w:numId="6" w16cid:durableId="1517110609">
    <w:abstractNumId w:val="3"/>
  </w:num>
  <w:num w:numId="7" w16cid:durableId="1873565660">
    <w:abstractNumId w:val="2"/>
  </w:num>
  <w:num w:numId="8" w16cid:durableId="44836783">
    <w:abstractNumId w:val="1"/>
  </w:num>
  <w:num w:numId="9" w16cid:durableId="19799177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7BE3"/>
    <w:rsid w:val="0029639D"/>
    <w:rsid w:val="00326F90"/>
    <w:rsid w:val="00456908"/>
    <w:rsid w:val="00544CCE"/>
    <w:rsid w:val="00646BE3"/>
    <w:rsid w:val="00676347"/>
    <w:rsid w:val="0075670A"/>
    <w:rsid w:val="0079116C"/>
    <w:rsid w:val="008015DA"/>
    <w:rsid w:val="00AA1D8D"/>
    <w:rsid w:val="00B47730"/>
    <w:rsid w:val="00BA22A5"/>
    <w:rsid w:val="00C5384B"/>
    <w:rsid w:val="00CB0664"/>
    <w:rsid w:val="00D708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6ECE8"/>
  <w14:defaultImageDpi w14:val="300"/>
  <w15:docId w15:val="{F325430D-FF76-7643-9C8F-AB416AAFA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015DA"/>
    <w:rPr>
      <w:color w:val="0000FF"/>
      <w:u w:val="single"/>
    </w:rPr>
  </w:style>
  <w:style w:type="character" w:styleId="UnresolvedMention">
    <w:name w:val="Unresolved Mention"/>
    <w:basedOn w:val="DefaultParagraphFont"/>
    <w:uiPriority w:val="99"/>
    <w:semiHidden/>
    <w:unhideWhenUsed/>
    <w:rsid w:val="008015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nomicslaboratory.ir/" TargetMode="External"/><Relationship Id="rId13" Type="http://schemas.openxmlformats.org/officeDocument/2006/relationships/hyperlink" Target="https://pubmed.ncbi.nlm.nih.gov/41882341/" TargetMode="External"/><Relationship Id="rId18" Type="http://schemas.openxmlformats.org/officeDocument/2006/relationships/hyperlink" Target="https://pubmed.ncbi.nlm.nih.gov/31903486/"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ubmed.ncbi.nlm.nih.gov/41998823/" TargetMode="External"/><Relationship Id="rId17" Type="http://schemas.openxmlformats.org/officeDocument/2006/relationships/hyperlink" Target="https://pubmed.ncbi.nlm.nih.gov/31345061/" TargetMode="External"/><Relationship Id="rId2" Type="http://schemas.openxmlformats.org/officeDocument/2006/relationships/numbering" Target="numbering.xml"/><Relationship Id="rId16" Type="http://schemas.openxmlformats.org/officeDocument/2006/relationships/hyperlink" Target="https://pubmed.ncbi.nlm.nih.gov/37342957/"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med.ncbi.nlm.nih.gov/25741868/" TargetMode="External"/><Relationship Id="rId5" Type="http://schemas.openxmlformats.org/officeDocument/2006/relationships/webSettings" Target="webSettings.xml"/><Relationship Id="rId15" Type="http://schemas.openxmlformats.org/officeDocument/2006/relationships/hyperlink" Target="https://pubmed.ncbi.nlm.nih.gov/36952639/" TargetMode="Externa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helix.com?utm_source=gemini" TargetMode="External"/><Relationship Id="rId14" Type="http://schemas.openxmlformats.org/officeDocument/2006/relationships/hyperlink" Target="https://www.ncbi.nlm.nih.gov/gene/15096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9</Pages>
  <Words>2496</Words>
  <Characters>14229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Whole-Exome Sequencing Variant Analysis and Candidate Gene Prioritization</vt:lpstr>
    </vt:vector>
  </TitlesOfParts>
  <Manager/>
  <Company/>
  <LinksUpToDate>false</LinksUpToDate>
  <CharactersWithSpaces>16692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Whole-Exome Sequencing Variant Analysis and Candidate Gene Prioritization</dc:title>
  <dc:subject>Online course project report</dc:subject>
  <dc:creator>Mehrnaz Ohadi</dc:creator>
  <cp:keywords>WES, NGS, variant filtering, candidate gene prioritization</cp:keywords>
  <dc:description>generated by python-docx</dc:description>
  <cp:lastModifiedBy>Mehrnaz Ohadi</cp:lastModifiedBy>
  <cp:revision>3</cp:revision>
  <dcterms:created xsi:type="dcterms:W3CDTF">2026-08-26T07:10:00Z</dcterms:created>
  <dcterms:modified xsi:type="dcterms:W3CDTF">2026-09-23T20:24:00Z</dcterms:modified>
  <cp:category/>
</cp:coreProperties>
</file>