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 w:after="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sz w:val="18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 w:after="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sz w:val="18"/>
                <w:rtl w:val="0"/>
              </w:rPr>
              <w:t xml:space="preserve">10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 w:after="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sz w:val="18"/>
                <w:rtl w:val="0"/>
              </w:rPr>
              <w:t xml:space="preserve">Team ID</w:t>
            </w:r>
          </w:p>
        </w:tc>
        <w:tc>
          <w:tcPr/>
          <w:p>
            <w:pPr>
              <w:spacing w:after="60"/>
            </w:pPr>
            <w:r>
              <w:rPr>
                <w:rFonts w:ascii="Arial" w:hAnsi="Arial"/>
                <w:sz w:val="18"/>
              </w:rP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 w:after="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sz w:val="18"/>
                <w:rtl w:val="0"/>
              </w:rPr>
              <w:t xml:space="preserve">Project Name</w:t>
            </w:r>
          </w:p>
        </w:tc>
        <w:tc>
          <w:tcPr/>
          <w:p>
            <w:pPr>
              <w:spacing w:after="60"/>
            </w:pPr>
            <w:r>
              <w:rPr>
                <w:rFonts w:ascii="Arial" w:hAnsi="Arial"/>
                <w:sz w:val="18"/>
              </w:rPr>
              <w:t>EV Market Performance &amp; Sustainability Analytics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 w:after="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sz w:val="18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 w:after="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hAnsi="Arial"/>
                <w:sz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</w:t>
        <w:tab/>
        <w:t xml:space="preserve">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 w:after="6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Arial" w:cs="Calibri" w:eastAsia="Calibri" w:hAnsi="Arial"/>
                <w:b w:val="1"/>
                <w:bCs w:val="1"/>
                <w:sz w:val="18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 w:after="6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Arial" w:cs="Calibri" w:eastAsia="Calibri" w:hAnsi="Arial"/>
                <w:b w:val="1"/>
                <w:bCs w:val="1"/>
                <w:sz w:val="18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 w:after="6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Arial" w:cs="Calibri" w:eastAsia="Calibri" w:hAnsi="Arial"/>
                <w:b w:val="1"/>
                <w:bCs w:val="1"/>
                <w:sz w:val="18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60"/>
            </w:pPr>
            <w:r>
              <w:rPr>
                <w:rFonts w:ascii="Arial" w:hAnsi="Arial"/>
                <w:sz w:val="18"/>
              </w:rPr>
              <w:t>1.</w:t>
            </w:r>
          </w:p>
        </w:tc>
        <w:tc>
          <w:tcPr/>
          <w:p>
            <w:pPr>
              <w:spacing w:after="60"/>
            </w:pPr>
            <w:r>
              <w:rPr>
                <w:rFonts w:ascii="Arial" w:hAnsi="Arial"/>
                <w:sz w:val="18"/>
              </w:rPr>
              <w:t>Data Rendered</w:t>
            </w:r>
          </w:p>
        </w:tc>
        <w:tc>
          <w:tcPr/>
          <w:p>
            <w:pPr>
              <w:spacing w:after="60"/>
            </w:pPr>
            <w:r>
              <w:rPr>
                <w:rFonts w:ascii="Arial" w:hAnsi="Arial"/>
                <w:sz w:val="18"/>
              </w:rPr>
              <w:t>EV dataset connected in Tableau: 200,000 records and 37 fields. Key fields include annual_sales_units, category, manufacturer, model_year, battery_type, range_km, price_usd, customer_rating and co2_saved_tons_per_year.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60"/>
            </w:pPr>
            <w:r>
              <w:rPr>
                <w:rFonts w:ascii="Arial" w:hAnsi="Arial"/>
                <w:sz w:val="18"/>
              </w:rPr>
              <w:t>2.</w:t>
            </w:r>
          </w:p>
        </w:tc>
        <w:tc>
          <w:tcPr/>
          <w:p>
            <w:pPr>
              <w:spacing w:after="60"/>
            </w:pPr>
            <w:r>
              <w:rPr>
                <w:rFonts w:ascii="Arial" w:hAnsi="Arial"/>
                <w:sz w:val="18"/>
              </w:rPr>
              <w:t>Data Preprocessing</w:t>
            </w:r>
          </w:p>
        </w:tc>
        <w:tc>
          <w:tcPr/>
          <w:p>
            <w:pPr>
              <w:spacing w:after="60"/>
            </w:pPr>
            <w:r>
              <w:rPr>
                <w:rFonts w:ascii="Arial" w:hAnsi="Arial"/>
                <w:sz w:val="18"/>
              </w:rPr>
              <w:t>Checked field names and data types; used numeric measures for sales, price, range, battery capacity, charging power, efficiency and CO₂ savings, and dimensions for category, manufacturer, country, region, battery type and model year. The dataset contains 2,028 missing values in annual_sales_units; these are excluded from SUM aggregations unless handled explicitly.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60"/>
            </w:pPr>
            <w:r>
              <w:rPr>
                <w:rFonts w:ascii="Arial" w:hAnsi="Arial"/>
                <w:sz w:val="18"/>
              </w:rPr>
              <w:t>3.</w:t>
            </w:r>
          </w:p>
        </w:tc>
        <w:tc>
          <w:tcPr/>
          <w:p>
            <w:pPr>
              <w:spacing w:after="60"/>
            </w:pPr>
            <w:r>
              <w:rPr>
                <w:rFonts w:ascii="Arial" w:hAnsi="Arial"/>
                <w:sz w:val="18"/>
              </w:rPr>
              <w:t>Utilization of Filters</w:t>
            </w:r>
          </w:p>
        </w:tc>
        <w:tc>
          <w:tcPr/>
          <w:p>
            <w:pPr>
              <w:spacing w:after="60"/>
            </w:pPr>
            <w:r>
              <w:rPr>
                <w:rFonts w:ascii="Arial" w:hAnsi="Arial"/>
                <w:sz w:val="18"/>
              </w:rPr>
              <w:t>Planned dashboard filters: Model Year, Manufacturing Country, Vehicle Category, Battery Type and Market Region. Filters can be applied across worksheets to compare sales, production, battery technology and sustainability metrics.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60"/>
            </w:pPr>
            <w:r>
              <w:rPr>
                <w:rFonts w:ascii="Arial" w:hAnsi="Arial"/>
                <w:sz w:val="18"/>
              </w:rPr>
              <w:t>4.</w:t>
            </w:r>
          </w:p>
        </w:tc>
        <w:tc>
          <w:tcPr/>
          <w:p>
            <w:pPr>
              <w:spacing w:after="60"/>
            </w:pPr>
            <w:r>
              <w:rPr>
                <w:rFonts w:ascii="Arial" w:hAnsi="Arial"/>
                <w:sz w:val="18"/>
              </w:rPr>
              <w:t>Calculation fields Used</w:t>
            </w:r>
          </w:p>
        </w:tc>
        <w:tc>
          <w:tcPr/>
          <w:p>
            <w:pPr>
              <w:spacing w:after="60"/>
            </w:pPr>
            <w:r>
              <w:rPr>
                <w:rFonts w:ascii="Arial" w:hAnsi="Arial"/>
                <w:sz w:val="18"/>
              </w:rPr>
              <w:t>SUM(annual_sales_units) for total sales; AVG(price_usd) for average vehicle price; AVG(range_km) for average driving range; SUM(co2_saved_tons_per_year) for annual CO₂ savings; Percent of Total for battery/category sales contribution; Sales in Millions = SUM(annual_sales_units) / 1,000,000.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60"/>
            </w:pPr>
            <w:r>
              <w:rPr>
                <w:rFonts w:ascii="Arial" w:hAnsi="Arial"/>
                <w:sz w:val="18"/>
              </w:rPr>
              <w:t>5.</w:t>
            </w:r>
          </w:p>
        </w:tc>
        <w:tc>
          <w:tcPr/>
          <w:p>
            <w:pPr>
              <w:spacing w:after="60"/>
            </w:pPr>
            <w:r>
              <w:rPr>
                <w:rFonts w:ascii="Arial" w:hAnsi="Arial"/>
                <w:sz w:val="18"/>
              </w:rPr>
              <w:t>Dashboard design</w:t>
            </w:r>
          </w:p>
        </w:tc>
        <w:tc>
          <w:tcPr/>
          <w:p>
            <w:pPr>
              <w:spacing w:after="60"/>
            </w:pPr>
            <w:r>
              <w:rPr>
                <w:rFonts w:ascii="Arial" w:hAnsi="Arial"/>
                <w:sz w:val="18"/>
              </w:rPr>
              <w:t>No. of Visualizations / Graphs: 9. KPI cards, sales trend line chart, country-wise horizontal bar chart, vehicle-category donut chart, battery-technology pie chart, manufacturer bubble chart, driving-range box plot, country-category heatmap and charging-speed vs efficiency scatter plot.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60"/>
            </w:pPr>
            <w:r>
              <w:rPr>
                <w:rFonts w:ascii="Arial" w:hAnsi="Arial"/>
                <w:sz w:val="18"/>
              </w:rPr>
              <w:t>6.</w:t>
            </w:r>
          </w:p>
        </w:tc>
        <w:tc>
          <w:tcPr/>
          <w:p>
            <w:pPr>
              <w:spacing w:after="60"/>
            </w:pPr>
            <w:r>
              <w:rPr>
                <w:rFonts w:ascii="Arial" w:hAnsi="Arial"/>
                <w:sz w:val="18"/>
              </w:rPr>
              <w:t>Story Design</w:t>
            </w:r>
          </w:p>
        </w:tc>
        <w:tc>
          <w:tcPr/>
          <w:p>
            <w:pPr>
              <w:spacing w:after="60"/>
            </w:pPr>
            <w:r>
              <w:rPr>
                <w:rFonts w:ascii="Arial" w:hAnsi="Arial"/>
                <w:sz w:val="18"/>
              </w:rPr>
              <w:t>No. of Visualizations / Graphs: 9 planned visualizations presented as a logical EV market story: overview KPIs, sales trends, country performance, category mix, battery technologies, manufacturer comparison, driving range, regional sales concentration and charging efficiency. Tableau Public story link: ______________________________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