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7"/>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7"/>
              </w:rPr>
              <w:t>EV Market Performance &amp; Sustainability Analytics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0D">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078232226188"/>
        <w:gridCol w:w="2015.5503705737033"/>
        <w:gridCol w:w="3357.970903101839"/>
        <w:gridCol w:w="3357.970903101839"/>
        <w:tblGridChange w:id="0">
          <w:tblGrid>
            <w:gridCol w:w="592.5078232226188"/>
            <w:gridCol w:w="2015.5503705737033"/>
            <w:gridCol w:w="3357.970903101839"/>
            <w:gridCol w:w="3357.970903101839"/>
          </w:tblGrid>
        </w:tblGridChange>
      </w:tblGrid>
      <w:tr>
        <w:trPr>
          <w:cantSplit w:val="0"/>
          <w:trHeight w:val="333"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Sub Requirement (Story / Sub-Task)</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Priority (High/Medium/Low)</w:t>
            </w:r>
          </w:p>
        </w:tc>
      </w:tr>
      <w:tr>
        <w:trPr>
          <w:cantSplit w:val="0"/>
          <w:trHeight w:val="489" w:hRule="atLeast"/>
          <w:tblHeader w:val="0"/>
        </w:trPr>
        <w:tc>
          <w:tcPr/>
          <w:p>
            <w:r>
              <w:rPr>
                <w:sz w:val="17"/>
              </w:rPr>
              <w:t>1</w:t>
            </w:r>
          </w:p>
        </w:tc>
        <w:tc>
          <w:tcPr/>
          <w:p>
            <w:r>
              <w:rPr>
                <w:sz w:val="17"/>
              </w:rPr>
              <w:t>Data Access &amp; Integration</w:t>
            </w:r>
          </w:p>
        </w:tc>
        <w:tc>
          <w:tcPr/>
          <w:p>
            <w:r>
              <w:rPr>
                <w:sz w:val="17"/>
              </w:rPr>
              <w:t>Import the EV market CSV dataset containing model year, manufacturer, vehicle category, manufacturing country, market region, annual sales, price, battery type and capacity, driving range, charging speed, efficiency, customer rating and CO₂ savings.</w:t>
            </w:r>
          </w:p>
        </w:tc>
        <w:tc>
          <w:tcPr/>
          <w:p>
            <w:r>
              <w:rPr>
                <w:sz w:val="17"/>
              </w:rPr>
              <w:t>High</w:t>
            </w:r>
          </w:p>
        </w:tc>
      </w:tr>
      <w:tr>
        <w:trPr>
          <w:cantSplit w:val="0"/>
          <w:trHeight w:val="489" w:hRule="atLeast"/>
          <w:tblHeader w:val="0"/>
        </w:trPr>
        <w:tc>
          <w:tcPr/>
          <w:p>
            <w:r>
              <w:rPr>
                <w:sz w:val="17"/>
              </w:rPr>
              <w:t>2</w:t>
            </w:r>
          </w:p>
        </w:tc>
        <w:tc>
          <w:tcPr/>
          <w:p>
            <w:r>
              <w:rPr>
                <w:sz w:val="17"/>
              </w:rPr>
              <w:t>Data Processing</w:t>
            </w:r>
          </w:p>
        </w:tc>
        <w:tc>
          <w:tcPr/>
          <w:p>
            <w:r>
              <w:rPr>
                <w:sz w:val="17"/>
              </w:rPr>
              <w:t>Check field data types, handle missing values transparently, format sales and currency, and aggregate records by year, category, manufacturer, country and battery type. Avoid treating missing sales as zero without documenting it.</w:t>
            </w:r>
          </w:p>
        </w:tc>
        <w:tc>
          <w:tcPr/>
          <w:p>
            <w:r>
              <w:rPr>
                <w:sz w:val="17"/>
              </w:rPr>
              <w:t>High</w:t>
            </w:r>
          </w:p>
        </w:tc>
      </w:tr>
      <w:tr>
        <w:trPr>
          <w:cantSplit w:val="0"/>
          <w:trHeight w:val="760.6640625" w:hRule="atLeast"/>
          <w:tblHeader w:val="0"/>
        </w:trPr>
        <w:tc>
          <w:tcPr/>
          <w:p>
            <w:r>
              <w:rPr>
                <w:sz w:val="17"/>
              </w:rPr>
              <w:t>3</w:t>
            </w:r>
          </w:p>
        </w:tc>
        <w:tc>
          <w:tcPr/>
          <w:p>
            <w:r>
              <w:rPr>
                <w:sz w:val="17"/>
              </w:rPr>
              <w:t>Business Analysis</w:t>
            </w:r>
          </w:p>
        </w:tc>
        <w:tc>
          <w:tcPr/>
          <w:p>
            <w:r>
              <w:rPr>
                <w:sz w:val="17"/>
              </w:rPr>
              <w:t>Calculate total annual sales, average vehicle price, average driving range, total annual CO₂ saved, category/country sales, manufacturer sales and ratings, battery-type contribution, range distribution and charging-speed versus efficiency metrics.</w:t>
            </w:r>
          </w:p>
        </w:tc>
        <w:tc>
          <w:tcPr/>
          <w:p>
            <w:r>
              <w:rPr>
                <w:sz w:val="17"/>
              </w:rPr>
              <w:t>High</w:t>
            </w:r>
          </w:p>
        </w:tc>
      </w:tr>
      <w:tr>
        <w:trPr>
          <w:cantSplit w:val="0"/>
          <w:trHeight w:val="489" w:hRule="atLeast"/>
          <w:tblHeader w:val="0"/>
        </w:trPr>
        <w:tc>
          <w:tcPr/>
          <w:p>
            <w:r>
              <w:rPr>
                <w:sz w:val="17"/>
              </w:rPr>
              <w:t>4</w:t>
            </w:r>
          </w:p>
        </w:tc>
        <w:tc>
          <w:tcPr/>
          <w:p>
            <w:r>
              <w:rPr>
                <w:sz w:val="17"/>
              </w:rPr>
              <w:t>Business Insights &amp; Analytical Outputs</w:t>
            </w:r>
          </w:p>
        </w:tc>
        <w:tc>
          <w:tcPr/>
          <w:p>
            <w:r>
              <w:rPr>
                <w:sz w:val="17"/>
              </w:rPr>
              <w:t>Provide an interactive Tableau dashboard with KPI cards, sales trend line chart, country sales bar chart, vehicle-category donut chart, battery technology pie chart, manufacturer bubble chart, range box plot, country-category heatmap and charging-efficiency scatter plot.</w:t>
            </w:r>
          </w:p>
        </w:tc>
        <w:tc>
          <w:tcPr/>
          <w:p>
            <w:r>
              <w:rPr>
                <w:sz w:val="17"/>
              </w:rPr>
              <w:t>High</w:t>
            </w:r>
          </w:p>
        </w:tc>
      </w:tr>
      <w:tr>
        <w:trPr>
          <w:cantSplit w:val="0"/>
          <w:trHeight w:val="489" w:hRule="atLeast"/>
          <w:tblHeader w:val="0"/>
        </w:trPr>
        <w:tc>
          <w:tcPr/>
          <w:p>
            <w:r>
              <w:rPr>
                <w:sz w:val="17"/>
              </w:rPr>
              <w:t>5</w:t>
            </w:r>
          </w:p>
        </w:tc>
        <w:tc>
          <w:tcPr/>
          <w:p>
            <w:r>
              <w:rPr>
                <w:sz w:val="17"/>
              </w:rPr>
              <w:t>User Interaction &amp; Analysis</w:t>
            </w:r>
          </w:p>
        </w:tc>
        <w:tc>
          <w:tcPr/>
          <w:p>
            <w:r>
              <w:rPr>
                <w:sz w:val="17"/>
              </w:rPr>
              <w:t>Allow users to filter by model year, manufacturing country, vehicle category, battery type and market region. Enable tooltips, sorting, selection-based filtering and comparison across categories and manufacturers.</w:t>
            </w:r>
          </w:p>
        </w:tc>
        <w:tc>
          <w:tcPr/>
          <w:p>
            <w:r>
              <w:rPr>
                <w:sz w:val="17"/>
              </w:rPr>
              <w:t>High</w:t>
            </w:r>
          </w:p>
        </w:tc>
      </w:tr>
      <w:tr>
        <w:trPr>
          <w:cantSplit w:val="0"/>
          <w:trHeight w:val="489" w:hRule="atLeast"/>
          <w:tblHeader w:val="0"/>
        </w:trPr>
        <w:tc>
          <w:tcPr/>
          <w:p>
            <w:r>
              <w:rPr>
                <w:sz w:val="17"/>
              </w:rPr>
              <w:t>6</w:t>
            </w:r>
          </w:p>
        </w:tc>
        <w:tc>
          <w:tcPr/>
          <w:p>
            <w:r>
              <w:rPr>
                <w:sz w:val="17"/>
              </w:rPr>
              <w:t>Data Update &amp; Reporting</w:t>
            </w:r>
          </w:p>
        </w:tc>
        <w:tc>
          <w:tcPr/>
          <w:p>
            <w:r>
              <w:rPr>
                <w:sz w:val="17"/>
              </w:rPr>
              <w:t>Refresh the Tableau data source when an updated CSV is supplied. Provide a dashboard view and exportable PDF/image or packaged Tableau workbook for reporting. This is a file-based prototype, not a live streaming system.</w:t>
            </w:r>
          </w:p>
        </w:tc>
        <w:tc>
          <w:tcPr/>
          <w:p>
            <w:r>
              <w:rPr>
                <w:sz w:val="17"/>
              </w:rPr>
              <w:t>Medium</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C">
      <w:pPr>
        <w:spacing w:after="0" w:lineRule="auto"/>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Non-Functional Requirement</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tc>
      </w:tr>
      <w:tr>
        <w:trPr>
          <w:cantSplit w:val="0"/>
          <w:trHeight w:val="489" w:hRule="atLeast"/>
          <w:tblHeader w:val="0"/>
        </w:trPr>
        <w:tc>
          <w:tcPr/>
          <w:p>
            <w:r>
              <w:rPr>
                <w:sz w:val="17"/>
              </w:rPr>
              <w:t>NFR-1</w:t>
            </w:r>
          </w:p>
        </w:tc>
        <w:tc>
          <w:tcPr/>
          <w:p>
            <w:r>
              <w:rPr>
                <w:sz w:val="17"/>
              </w:rPr>
              <w:t>Usability</w:t>
            </w:r>
          </w:p>
        </w:tc>
        <w:tc>
          <w:tcPr/>
          <w:p>
            <w:r>
              <w:rPr>
                <w:sz w:val="17"/>
              </w:rPr>
              <w:t>Use clear titles, readable labels, consistent colors, concise tooltips and intuitive filters so business users can understand charts with minimal training.</w:t>
            </w:r>
          </w:p>
        </w:tc>
      </w:tr>
      <w:tr>
        <w:trPr>
          <w:cantSplit w:val="0"/>
          <w:trHeight w:val="489" w:hRule="atLeast"/>
          <w:tblHeader w:val="0"/>
        </w:trPr>
        <w:tc>
          <w:tcPr/>
          <w:p>
            <w:r>
              <w:rPr>
                <w:sz w:val="17"/>
              </w:rPr>
              <w:t>NFR-2</w:t>
            </w:r>
          </w:p>
        </w:tc>
        <w:tc>
          <w:tcPr/>
          <w:p>
            <w:r>
              <w:rPr>
                <w:sz w:val="17"/>
              </w:rPr>
              <w:t>Security</w:t>
            </w:r>
          </w:p>
        </w:tc>
        <w:tc>
          <w:tcPr/>
          <w:p>
            <w:r>
              <w:rPr>
                <w:sz w:val="17"/>
              </w:rPr>
              <w:t>Use only authorized access to the workbook and source data. Avoid publishing confidential or personally identifiable information; apply Tableau sharing permissions appropriately.</w:t>
            </w:r>
          </w:p>
        </w:tc>
      </w:tr>
      <w:tr>
        <w:trPr>
          <w:cantSplit w:val="0"/>
          <w:trHeight w:val="470" w:hRule="atLeast"/>
          <w:tblHeader w:val="0"/>
        </w:trPr>
        <w:tc>
          <w:tcPr/>
          <w:p>
            <w:r>
              <w:rPr>
                <w:sz w:val="17"/>
              </w:rPr>
              <w:t>NFR-3</w:t>
            </w:r>
          </w:p>
        </w:tc>
        <w:tc>
          <w:tcPr/>
          <w:p>
            <w:r>
              <w:rPr>
                <w:sz w:val="17"/>
              </w:rPr>
              <w:t>Reliability</w:t>
            </w:r>
          </w:p>
        </w:tc>
        <w:tc>
          <w:tcPr/>
          <w:p>
            <w:r>
              <w:rPr>
                <w:sz w:val="17"/>
              </w:rPr>
              <w:t>Use consistent aggregations and validated field types; document missing values and test that filters and KPI calculations behave correctly.</w:t>
            </w:r>
          </w:p>
        </w:tc>
      </w:tr>
      <w:tr>
        <w:trPr>
          <w:cantSplit w:val="0"/>
          <w:trHeight w:val="489" w:hRule="atLeast"/>
          <w:tblHeader w:val="0"/>
        </w:trPr>
        <w:tc>
          <w:tcPr/>
          <w:p>
            <w:r>
              <w:rPr>
                <w:sz w:val="17"/>
              </w:rPr>
              <w:t>NFR-4</w:t>
            </w:r>
          </w:p>
        </w:tc>
        <w:tc>
          <w:tcPr/>
          <w:p>
            <w:r>
              <w:rPr>
                <w:sz w:val="17"/>
              </w:rPr>
              <w:t>Performance</w:t>
            </w:r>
          </w:p>
        </w:tc>
        <w:tc>
          <w:tcPr/>
          <w:p>
            <w:r>
              <w:rPr>
                <w:sz w:val="17"/>
              </w:rPr>
              <w:t>Limit clutter, use aggregated views and Top-N manufacturer filters, and avoid unnecessary marks so the dashboard remains responsive.</w:t>
            </w:r>
          </w:p>
        </w:tc>
      </w:tr>
      <w:tr>
        <w:trPr>
          <w:cantSplit w:val="0"/>
          <w:trHeight w:val="489" w:hRule="atLeast"/>
          <w:tblHeader w:val="0"/>
        </w:trPr>
        <w:tc>
          <w:tcPr/>
          <w:p>
            <w:r>
              <w:rPr>
                <w:sz w:val="17"/>
              </w:rPr>
              <w:t>NFR-5</w:t>
            </w:r>
          </w:p>
        </w:tc>
        <w:tc>
          <w:tcPr/>
          <w:p>
            <w:r>
              <w:rPr>
                <w:sz w:val="17"/>
              </w:rPr>
              <w:t>Availability</w:t>
            </w:r>
          </w:p>
        </w:tc>
        <w:tc>
          <w:tcPr/>
          <w:p>
            <w:r>
              <w:rPr>
                <w:sz w:val="17"/>
              </w:rPr>
              <w:t>The workbook is available when the Tableau file and source CSV are accessible; Tableau Public availability depends on publishing and internet access.</w:t>
            </w:r>
          </w:p>
        </w:tc>
      </w:tr>
      <w:tr>
        <w:trPr>
          <w:cantSplit w:val="0"/>
          <w:trHeight w:val="489" w:hRule="atLeast"/>
          <w:tblHeader w:val="0"/>
        </w:trPr>
        <w:tc>
          <w:tcPr/>
          <w:p>
            <w:r>
              <w:rPr>
                <w:sz w:val="17"/>
              </w:rPr>
              <w:t>NFR-6</w:t>
            </w:r>
          </w:p>
        </w:tc>
        <w:tc>
          <w:tcPr/>
          <w:p>
            <w:r>
              <w:rPr>
                <w:sz w:val="17"/>
              </w:rPr>
              <w:t>Scalability</w:t>
            </w:r>
          </w:p>
        </w:tc>
        <w:tc>
          <w:tcPr/>
          <w:p>
            <w:r>
              <w:rPr>
                <w:sz w:val="17"/>
              </w:rPr>
              <w:t>Organize worksheets and calculated fields consistently so the dashboard can accommodate more records, years, countries and categories with suitable data-source optimization.</w:t>
            </w:r>
          </w:p>
        </w:tc>
      </w:tr>
    </w:tbl>
    <w:p w:rsidR="00000000" w:rsidDel="00000000" w:rsidP="00000000" w:rsidRDefault="00000000" w:rsidRPr="00000000" w14:paraId="00000042">
      <w:pPr>
        <w:rPr/>
      </w:pP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6534150</wp:posOffset>
          </wp:positionH>
          <wp:positionV relativeFrom="page">
            <wp:posOffset>173355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