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00000"/>
          <w:sz w:val="35"/>
        </w:rPr>
        <w:t>SwasthyaSetu Research Gaps Technology and Development Conclusion</w:t>
      </w:r>
    </w:p>
    <w:p>
      <w:pPr>
        <w:spacing w:after="140"/>
      </w:pPr>
      <w:r>
        <w:rPr>
          <w:rFonts w:ascii="Aptos" w:hAnsi="Aptos"/>
          <w:b w:val="0"/>
          <w:i/>
          <w:color w:val="4A4A4A"/>
          <w:sz w:val="18"/>
        </w:rPr>
        <w:t>Literature synthesis for project and intellectual property documentation</w:t>
      </w:r>
    </w:p>
    <w:p>
      <w:pPr>
        <w:pStyle w:val="Heading1"/>
      </w:pPr>
      <w:r>
        <w:t>Research conclusion</w:t>
      </w:r>
    </w:p>
    <w:p>
      <w:r>
        <w:t>The reviewed literature supports the need for a rural health system that continues to work when connectivity fails, gives people a clear next step without claiming a diagnosis, and connects digital intake to a responsible health worker. It also shows why technology alone is insufficient. Travel distance, language, trust, cultural beliefs, shared-phone privacy, staff workload and the condition of nearby facilities all affect whether a person reaches appropriate care. SwasthyaSetu responds to these linked problems through a bounded decision-support design rather than a single predictive model. Its current contribution lies in combining offline urgency assessment, facility referral, durable field records and human follow-up while keeping these functions technically separate.</w:t>
      </w:r>
    </w:p>
    <w:p>
      <w:r>
        <w:t>The evidence is strongest where the papers examine real workflows. Bassi et al. (2025) found that an ASHA-led mobile intervention, supported by physician supervision and a clinical decision-support system, improved several diabetes-care measures in two Indian districts. The study also warns that new digital duties can overburden ASHAs unless training, supervision and workflow design continue after deployment. Tripathi et al. (2020) similarly found that an IVR service helped women with limited literacy seek fistula screening, but the telephone channel worked only when community agents, confidentiality procedures and referral support were available. Namuli et al. (2026) adds a social dimension: convenient services and medicine supply did not remove cultural and travel-related influences on care-seeking among the small group studied. Together, these findings support SwasthyaSetu's use of simple guided interactions and human handoff, while arguing for field testing with ASHAs, families and local health authorities.</w:t>
      </w:r>
    </w:p>
    <w:p>
      <w:pPr>
        <w:pStyle w:val="Heading1"/>
      </w:pPr>
      <w:r>
        <w:t>Research gaps identified</w:t>
      </w:r>
    </w:p>
    <w:p>
      <w:r>
        <w:t>Several gaps remain across the literature. Many symptom checkers report diagnostic accuracy but provide limited evidence about emergency false negatives, performance across language and literacy groups, or behavior when the network is unavailable. Sharma et al. (2025) notes inconsistent evaluation, limited clinical validation, bias, privacy concerns and weak clinician trust across AI tools used in primary care. Gupta et al. (2026) proposes repeated urgency assessment and history-aware queue management, but its results come from simulated patients; the paper itself calls for retrospective and prospective validation. Rawat et al. (2026) describes an ambitious offline AI platform covering triage, imaging, medicine recognition, physiotherapy and outbreak prediction, yet its performance figures are projected and the SSRN paper has not been peer reviewed. These studies describe useful research directions, but they do not justify placing an LLM or diagnostic model in SwasthyaSetu's safety-critical decision engine.</w:t>
      </w:r>
    </w:p>
    <w:p>
      <w:r>
        <w:t>Facility information presents a separate gap. Iyer et al. (2015) showed that structured surveys and local review can guide district investment, but the study did not measure live service availability or patient outcomes. Referral systems therefore need to distinguish a facility's documented capability from its present operating condition. Offline research has a similar weakness. Malanin (2025) discusses local caching, deferred synchronization and conflict resolution, but provides limited detail about reproducible evaluation. Published systems rarely demonstrate that a field record survives a force-quit, a flat battery, repeated transmission and conflicting edits without being lost or duplicated. The Rwanda readiness paper and the IVR paper fall outside the required 2024 to 2026 review period and should be retained as background sources rather than counted among the final ten eligible papers.</w:t>
      </w:r>
    </w:p>
    <w:p>
      <w:r>
        <w:br w:type="page"/>
      </w:r>
    </w:p>
    <w:p>
      <w:pPr>
        <w:pStyle w:val="Heading1"/>
      </w:pPr>
      <w:r>
        <w:t>Technology used and work completed</w:t>
      </w:r>
    </w:p>
    <w:p>
      <w:r>
        <w:t>SwasthyaSetu currently uses an Expo and React Native mobile application with SQLite storage, a Fastify and Node.js API, PostgreSQL with PostGIS, and shared TypeScript packages. The dependency-free core runs the same deterministic triage and facility-ranking logic on the phone and server. Red-flag rules stop the questionnaire when emergency criteria are met; otherwise a scorecard assigns one of four urgency levels and records the reasons and ruleset version. The system does not return a disease diagnosis. Facility ranking is a separate process based on required capability, travel estimates and the age of supporting evidence. It does not claim that a facility is open or currently available.</w:t>
      </w:r>
    </w:p>
    <w:p>
      <w:r>
        <w:t>The citizen flow, Hindi and English voice-guided interface, ASHA sign-in, offline household visits, assignment and handoff workflow, and a provider-neutral keypad IVR prototype have been implemented. Local writes and their outbox operations are committed together. Each operation receives a device-generated identifier so a retry can be recognized, and conflicting edits are shown for review rather than silently overwritten. The API reevaluates triage reports using the same rules and stores client and server results for mismatch auditing. Automated tests cover the core rules, fixed safety scenarios, mobile storage and API behavior. A retrieval-augmented knowledge assistant, live telephone provider, speech recognition, clinical validation, production security approval and reliable real-world facility data remain planned or incomplete.</w:t>
      </w:r>
    </w:p>
    <w:p>
      <w:pPr>
        <w:pStyle w:val="Heading1"/>
      </w:pPr>
      <w:r>
        <w:t>Recommended additions</w:t>
      </w:r>
    </w:p>
    <w:p>
      <w:r>
        <w:t>The next work should strengthen evidence and service delivery before broadening the clinical scope. First, clinicians should review every question, threshold and result message, followed by prospective testing that measures under-triage, over-triage, subgroup performance and user comprehension. Second, the project should introduce a structured facility evidence form covering capabilities, source, assessment date and review responsibility. The interface should continue to show evidence age and ask users to confirm by phone. Third, the ASHA program needs practical onboarding, supervised field exercises, refresher sessions and workload monitoring based on the approach tested by Bassi et al. Fourth, the IVR pilot should add shared-phone confidentiality procedures, locally tested recordings, bounded retry behavior, referral-completion tracking and a clear callback owner.</w:t>
      </w:r>
    </w:p>
    <w:p>
      <w:r>
        <w:t>Reliability testing should reproduce rural failure conditions rather than rely only on normal connectivity tests. The acceptance process should include airplane mode, low bandwidth, process termination, device restart, duplicate sends, simultaneous synchronization and limited storage on inexpensive Android phones. Encryption and reauthentication should be evaluated before any sensitive case content is cached offline. A later version may support clinician-approved reassessment reminders when a person waits too long, but an LLM should not change urgency, diagnose disease or assert facility availability. These limits make the system easier to audit and reduce the chance that an uncertain model output will be mistaken for clinical judgment.</w:t>
      </w:r>
    </w:p>
    <w:p>
      <w:pPr>
        <w:pStyle w:val="Heading1"/>
      </w:pPr>
      <w:r>
        <w:t>Final position</w:t>
      </w:r>
    </w:p>
    <w:p>
      <w:r>
        <w:t>The literature does not establish that any one technology solves rural access. It instead points to a practical combination: dependable offline operation, understandable urgency guidance, evidence-based referral and accountable human follow-up. SwasthyaSetu has implemented much of this combination as a prototype, with unusually explicit boundaries between decision, routing and future knowledge functions. Its potential technical contribution should be described in terms of that architecture and its verifiable behavior, not as a claim of diagnostic intelligence. Patent novelty cannot be concluded from these eight papers alone, especially because the 2026 Arogya AI working paper overlaps with offline storage, multilingual access, ASHA support and IVR. A complete prior-art search must also examine earlier papers, patents, products and public demonstrations.</w:t>
      </w:r>
    </w:p>
    <w:p>
      <w:pPr>
        <w:pStyle w:val="Heading1"/>
      </w:pPr>
      <w:r>
        <w:t>Sources reviewed</w:t>
      </w:r>
    </w:p>
    <w:p>
      <w:pPr>
        <w:pStyle w:val="SourceNote"/>
        <w:ind w:left="198" w:hanging="198"/>
      </w:pPr>
      <w:r>
        <w:rPr>
          <w:rFonts w:ascii="Aptos" w:hAnsi="Aptos"/>
          <w:b w:val="0"/>
          <w:i w:val="0"/>
          <w:color w:val="333333"/>
          <w:sz w:val="15"/>
        </w:rPr>
        <w:t>Bassi, A., et al. (2025). Preliminary effectiveness and feasibility of ASHA-led mobile health intervention for diabetes care. Scientific Reports, 15, 36712.</w:t>
      </w:r>
    </w:p>
    <w:p>
      <w:pPr>
        <w:pStyle w:val="SourceNote"/>
        <w:ind w:left="198" w:hanging="198"/>
      </w:pPr>
      <w:r>
        <w:rPr>
          <w:rFonts w:ascii="Aptos" w:hAnsi="Aptos"/>
          <w:b w:val="0"/>
          <w:i w:val="0"/>
          <w:color w:val="333333"/>
          <w:sz w:val="15"/>
        </w:rPr>
        <w:t>Gupta, R., Kumar, S., and Dang, M. (2026). Agentic AI for clinical urgency mapping and queue optimization. arXiv preprint 2604.00215.</w:t>
      </w:r>
    </w:p>
    <w:p>
      <w:pPr>
        <w:pStyle w:val="SourceNote"/>
        <w:ind w:left="198" w:hanging="198"/>
      </w:pPr>
      <w:r>
        <w:rPr>
          <w:rFonts w:ascii="Aptos" w:hAnsi="Aptos"/>
          <w:b w:val="0"/>
          <w:i w:val="0"/>
          <w:color w:val="333333"/>
          <w:sz w:val="15"/>
        </w:rPr>
        <w:t>Malanin, V. (2025). Implementing offline-first web apps for remote healthcare monitoring. International Journal of Research Publication and Reviews, 6(5).</w:t>
      </w:r>
    </w:p>
    <w:p>
      <w:pPr>
        <w:pStyle w:val="SourceNote"/>
        <w:ind w:left="198" w:hanging="198"/>
      </w:pPr>
      <w:r>
        <w:rPr>
          <w:rFonts w:ascii="Aptos" w:hAnsi="Aptos"/>
          <w:b w:val="0"/>
          <w:i w:val="0"/>
          <w:color w:val="333333"/>
          <w:sz w:val="15"/>
        </w:rPr>
        <w:t>Namuli, V., Kimera, D., and Namuddu, J. F. (2026). Health facility-related factors associated with native medicine use during pregnancy. Lubaga Journal of Health Research.</w:t>
      </w:r>
    </w:p>
    <w:p>
      <w:pPr>
        <w:pStyle w:val="SourceNote"/>
        <w:ind w:left="198" w:hanging="198"/>
      </w:pPr>
      <w:r>
        <w:rPr>
          <w:rFonts w:ascii="Aptos" w:hAnsi="Aptos"/>
          <w:b w:val="0"/>
          <w:i w:val="0"/>
          <w:color w:val="333333"/>
          <w:sz w:val="15"/>
        </w:rPr>
        <w:t>Sharma, G., et al. (2025). AI-based symptom checker tools towards accessible and reliable primary healthcare support. ICAIIHI. DOI 10.1109/ICAIIHI67124.2025.11403485.</w:t>
      </w:r>
    </w:p>
    <w:p>
      <w:pPr>
        <w:pStyle w:val="SourceNote"/>
        <w:ind w:left="198" w:hanging="198"/>
      </w:pPr>
      <w:r>
        <w:rPr>
          <w:rFonts w:ascii="Aptos" w:hAnsi="Aptos"/>
          <w:b w:val="0"/>
          <w:i w:val="0"/>
          <w:color w:val="333333"/>
          <w:sz w:val="15"/>
        </w:rPr>
        <w:t>Rawat, A., Negi, R., and Bundela, R. (2026). Arogya AI. SSRN working paper 6686439. Not peer reviewed.</w:t>
      </w:r>
    </w:p>
    <w:p>
      <w:pPr>
        <w:pStyle w:val="SourceNote"/>
        <w:ind w:left="198" w:hanging="198"/>
      </w:pPr>
      <w:r>
        <w:rPr>
          <w:rFonts w:ascii="Aptos" w:hAnsi="Aptos"/>
          <w:b w:val="0"/>
          <w:i w:val="0"/>
          <w:color w:val="333333"/>
          <w:sz w:val="15"/>
        </w:rPr>
        <w:t>Background sources: Iyer, H. S., et al. (2015), facility readiness in rural Rwanda; Tripathi, V., et al. (2020), IVR screening and referral in Nigeria and Uganda.</w:t>
      </w:r>
    </w:p>
    <w:sectPr w:rsidR="00FC693F" w:rsidRPr="0006063C" w:rsidSect="00034616">
      <w:pgSz w:w="11906" w:h="16838"/>
      <w:pgMar w:top="879" w:right="1020" w:bottom="935" w:left="1020"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76"/>
      <w:jc w:val="both"/>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36" w:line="230" w:lineRule="auto"/>
    </w:pPr>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SwasthyaSetu Research Gaps Technology and Development Conclusion</dc:title>
  <dc:subject>Research synthesis and implementation conclusion</dc:subject>
  <dc:creator>SwasthyaSetu Project Team</dc:creator>
  <cp:keywords>SwasthyaSetu, rural healthcare, offline first, ASHA, triage, research gaps</cp:keywords>
  <dc:description>generated by python-docx</dc:description>
  <cp:lastModifiedBy/>
  <cp:revision>1</cp:revision>
  <dcterms:created xsi:type="dcterms:W3CDTF">2013-12-23T23:15:00Z</dcterms:created>
  <dcterms:modified xsi:type="dcterms:W3CDTF">2013-12-23T23:15:00Z</dcterms:modified>
  <cp:category/>
</cp:coreProperties>
</file>