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56"/>
          <w:szCs w:val="56"/>
        </w:rPr>
        <w:t xml:space="preserve">Keywize</w:t>
      </w:r>
    </w:p>
    <w:p>
      <w:pPr>
        <w:spacing w:after="60"/>
        <w:jc w:val="center"/>
      </w:pPr>
      <w:r>
        <w:rPr>
          <w:rFonts w:ascii="Calibri" w:cs="Calibri" w:eastAsia="Calibri" w:hAnsi="Calibri"/>
          <w:color w:val="555555"/>
          <w:sz w:val="30"/>
          <w:szCs w:val="30"/>
        </w:rPr>
        <w:t xml:space="preserve">Business Model</w:t>
      </w:r>
    </w:p>
    <w:p>
      <w:pPr>
        <w:pBdr>
          <w:bottom w:val="single" w:color="1F3864" w:sz="6" w:space="8"/>
        </w:pBdr>
        <w:spacing w:after="320"/>
        <w:jc w:val="center"/>
      </w:pPr>
      <w:r>
        <w:rPr>
          <w:rFonts w:ascii="Calibri" w:cs="Calibri" w:eastAsia="Calibri" w:hAnsi="Calibri"/>
          <w:i/>
          <w:iCs/>
          <w:color w:val="555555"/>
          <w:sz w:val="24"/>
          <w:szCs w:val="24"/>
        </w:rPr>
        <w:t xml:space="preserve">The emergency anti-scam negotiator for locksmith services</w:t>
      </w:r>
    </w:p>
    <w:p>
      <w:pPr>
        <w:pStyle w:val="Heading1"/>
        <w:spacing w:after="140" w:before="32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sz w:val="22"/>
          <w:szCs w:val="22"/>
        </w:rPr>
        <w:t xml:space="preserve">Keywize is an AI agent that takes over locksmith procurement the moment a consumer is locked out. Instead of calling the first number in a panic, the user calls Keywize once — by phone (Twilio) or web. The agent interviews the user, builds a structured job spec, calls at least three local locksmiths, asks a protective anti-scam question script, captures itemized all-in quotes, negotiates using real competing quotes as leverage, scores each vendor for bait-and-switch risk, and recommends the safest best-value option backed by transcript evidence.</w:t>
      </w:r>
    </w:p>
    <w:p>
      <w:pPr>
        <w:spacing w:after="120" w:line="276"/>
      </w:pPr>
      <w:r>
        <w:rPr>
          <w:rFonts w:ascii="Calibri" w:cs="Calibri" w:eastAsia="Calibri" w:hAnsi="Calibri"/>
          <w:sz w:val="22"/>
          <w:szCs w:val="22"/>
        </w:rPr>
        <w:t xml:space="preserve">We monetize through a success fee of 20–25% of verified savings. If we save the user nothing, the service is free. The pitch to investors is one sentence: </w:t>
      </w:r>
      <w:r>
        <w:rPr>
          <w:rFonts w:ascii="Calibri" w:cs="Calibri" w:eastAsia="Calibri" w:hAnsi="Calibri"/>
          <w:i/>
          <w:iCs/>
          <w:sz w:val="22"/>
          <w:szCs w:val="22"/>
        </w:rPr>
        <w:t xml:space="preserve">“You would have paid $225 on the first call. We found an honest vendor for $85. Our commission is $15.”</w:t>
      </w:r>
    </w:p>
    <w:p>
      <w:pPr>
        <w:pStyle w:val="Heading1"/>
        <w:spacing w:after="140" w:before="320"/>
      </w:pPr>
      <w:r>
        <w:rPr>
          <w:rFonts w:ascii="Calibri" w:cs="Calibri" w:eastAsia="Calibri" w:hAnsi="Calibri"/>
          <w:b/>
          <w:bCs/>
          <w:color w:val="1F3864"/>
          <w:sz w:val="30"/>
          <w:szCs w:val="30"/>
        </w:rPr>
        <w:t xml:space="preserve">2. The Problem: Predatory Economics and Asymmetrical Leverage</w:t>
      </w:r>
    </w:p>
    <w:p>
      <w:pPr>
        <w:spacing w:after="120" w:line="276"/>
      </w:pPr>
      <w:r>
        <w:rPr>
          <w:rFonts w:ascii="Calibri" w:cs="Calibri" w:eastAsia="Calibri" w:hAnsi="Calibri"/>
          <w:sz w:val="22"/>
          <w:szCs w:val="22"/>
        </w:rPr>
        <w:t xml:space="preserve">The emergency lockout market is dominated by organized bait-and-switch lead-generation operations. The economics of the scam exploit a moment of maximum consumer vulnerability:</w:t>
      </w:r>
    </w:p>
    <w:p>
      <w:pPr>
        <w:pStyle w:val="ListParagraph"/>
        <w:numPr>
          <w:ilvl w:val="0"/>
          <w:numId w:val="2"/>
        </w:numPr>
        <w:spacing w:after="80" w:line="276"/>
      </w:pPr>
      <w:r>
        <w:rPr>
          <w:rFonts w:ascii="Calibri" w:cs="Calibri" w:eastAsia="Calibri" w:hAnsi="Calibri"/>
          <w:b/>
          <w:bCs/>
          <w:sz w:val="22"/>
          <w:szCs w:val="22"/>
        </w:rPr>
        <w:t xml:space="preserve">The 90-second decision window. </w:t>
      </w:r>
      <w:r>
        <w:rPr>
          <w:rFonts w:ascii="Calibri" w:cs="Calibri" w:eastAsia="Calibri" w:hAnsi="Calibri"/>
          <w:sz w:val="22"/>
          <w:szCs w:val="22"/>
        </w:rPr>
        <w:t xml:space="preserve">Consumers locked out of a home or vehicle have a median decision window of roughly 90–110 seconds and call the first available number, with no time to compare or verify.</w:t>
      </w:r>
    </w:p>
    <w:p>
      <w:pPr>
        <w:pStyle w:val="ListParagraph"/>
        <w:numPr>
          <w:ilvl w:val="0"/>
          <w:numId w:val="2"/>
        </w:numPr>
        <w:spacing w:after="80" w:line="276"/>
      </w:pPr>
      <w:r>
        <w:rPr>
          <w:rFonts w:ascii="Calibri" w:cs="Calibri" w:eastAsia="Calibri" w:hAnsi="Calibri"/>
          <w:b/>
          <w:bCs/>
          <w:sz w:val="22"/>
          <w:szCs w:val="22"/>
        </w:rPr>
        <w:t xml:space="preserve">The bait. </w:t>
      </w:r>
      <w:r>
        <w:rPr>
          <w:rFonts w:ascii="Calibri" w:cs="Calibri" w:eastAsia="Calibri" w:hAnsi="Calibri"/>
          <w:sz w:val="22"/>
          <w:szCs w:val="22"/>
        </w:rPr>
        <w:t xml:space="preserve">Predatory dispatchers quote an unrealistically low starting price of $29–$49 over the phone (the industry calls this the “scam 49-er”).</w:t>
      </w:r>
    </w:p>
    <w:p>
      <w:pPr>
        <w:pStyle w:val="ListParagraph"/>
        <w:numPr>
          <w:ilvl w:val="0"/>
          <w:numId w:val="2"/>
        </w:numPr>
        <w:spacing w:after="80" w:line="276"/>
      </w:pPr>
      <w:r>
        <w:rPr>
          <w:rFonts w:ascii="Calibri" w:cs="Calibri" w:eastAsia="Calibri" w:hAnsi="Calibri"/>
          <w:b/>
          <w:bCs/>
          <w:sz w:val="22"/>
          <w:szCs w:val="22"/>
        </w:rPr>
        <w:t xml:space="preserve">The switch. </w:t>
      </w:r>
      <w:r>
        <w:rPr>
          <w:rFonts w:ascii="Calibri" w:cs="Calibri" w:eastAsia="Calibri" w:hAnsi="Calibri"/>
          <w:sz w:val="22"/>
          <w:szCs w:val="22"/>
        </w:rPr>
        <w:t xml:space="preserve">On arrival, unlicensed technicians frequently drill or destroy the lock — leaving the door unsecured to force the purchase of new hardware on the spot — and demand a final bill 5–10x the phone quote, often exceeding $500. Markups of 500–1000% are documented; one hidden-camera test purchase recorded a $40 quote becoming a $376.80 invoice, an instant 840% markup.</w:t>
      </w:r>
    </w:p>
    <w:p>
      <w:pPr>
        <w:pStyle w:val="ListParagraph"/>
        <w:numPr>
          <w:ilvl w:val="0"/>
          <w:numId w:val="2"/>
        </w:numPr>
        <w:spacing w:after="80" w:line="276"/>
      </w:pPr>
      <w:r>
        <w:rPr>
          <w:rFonts w:ascii="Calibri" w:cs="Calibri" w:eastAsia="Calibri" w:hAnsi="Calibri"/>
          <w:b/>
          <w:bCs/>
          <w:sz w:val="22"/>
          <w:szCs w:val="22"/>
        </w:rPr>
        <w:t xml:space="preserve">Fake listings. </w:t>
      </w:r>
      <w:r>
        <w:rPr>
          <w:rFonts w:ascii="Calibri" w:cs="Calibri" w:eastAsia="Calibri" w:hAnsi="Calibri"/>
          <w:sz w:val="22"/>
          <w:szCs w:val="22"/>
        </w:rPr>
        <w:t xml:space="preserve">Many top-ranked locksmith listings in search and maps are fake storefronts that route calls to large national call centers rather than local technicians.</w:t>
      </w:r>
    </w:p>
    <w:p>
      <w:pPr>
        <w:pStyle w:val="Heading2"/>
        <w:spacing w:after="100" w:before="240"/>
      </w:pPr>
      <w:r>
        <w:rPr>
          <w:rFonts w:ascii="Calibri" w:cs="Calibri" w:eastAsia="Calibri" w:hAnsi="Calibri"/>
          <w:b/>
          <w:bCs/>
          <w:color w:val="1F3864"/>
          <w:sz w:val="25"/>
          <w:szCs w:val="25"/>
        </w:rPr>
        <w:t xml:space="preserve">Scale of the Problem</w:t>
      </w:r>
    </w:p>
    <w:p>
      <w:pPr>
        <w:pStyle w:val="ListParagraph"/>
        <w:numPr>
          <w:ilvl w:val="0"/>
          <w:numId w:val="2"/>
        </w:numPr>
        <w:spacing w:after="80" w:line="276"/>
      </w:pPr>
      <w:r>
        <w:rPr>
          <w:rFonts w:ascii="Calibri" w:cs="Calibri" w:eastAsia="Calibri" w:hAnsi="Calibri"/>
          <w:sz w:val="22"/>
          <w:szCs w:val="22"/>
        </w:rPr>
        <w:t xml:space="preserve">Official complaints about locksmith fraud have risen 66% over recent years, and Q1 2026 saw a 147% year-over-year spike in reported scams.</w:t>
      </w:r>
    </w:p>
    <w:p>
      <w:pPr>
        <w:pStyle w:val="ListParagraph"/>
        <w:numPr>
          <w:ilvl w:val="0"/>
          <w:numId w:val="2"/>
        </w:numPr>
        <w:spacing w:after="80" w:line="276"/>
      </w:pPr>
      <w:r>
        <w:rPr>
          <w:rFonts w:ascii="Calibri" w:cs="Calibri" w:eastAsia="Calibri" w:hAnsi="Calibri"/>
          <w:sz w:val="22"/>
          <w:szCs w:val="22"/>
        </w:rPr>
        <w:t xml:space="preserve">Roughly 1.9 million lockout incidents occur annually in New York City alone; hundreds of thousands of consumers per year funnel into fake-listing call centers in a single metro area.</w:t>
      </w:r>
    </w:p>
    <w:p>
      <w:pPr>
        <w:pStyle w:val="ListParagraph"/>
        <w:numPr>
          <w:ilvl w:val="0"/>
          <w:numId w:val="2"/>
        </w:numPr>
        <w:spacing w:after="80" w:line="276"/>
      </w:pPr>
      <w:r>
        <w:rPr>
          <w:rFonts w:ascii="Calibri" w:cs="Calibri" w:eastAsia="Calibri" w:hAnsi="Calibri"/>
          <w:sz w:val="22"/>
          <w:szCs w:val="22"/>
        </w:rPr>
        <w:t xml:space="preserve">Industry surveys indicate 65% of victims overpay by more than $250 (£200) above real market cost on a single invoice.</w:t>
      </w:r>
    </w:p>
    <w:p>
      <w:pPr>
        <w:spacing w:after="120" w:line="276"/>
      </w:pPr>
      <w:r>
        <w:rPr>
          <w:rFonts w:ascii="Calibri" w:cs="Calibri" w:eastAsia="Calibri" w:hAnsi="Calibri"/>
          <w:i/>
          <w:iCs/>
          <w:sz w:val="22"/>
          <w:szCs w:val="22"/>
        </w:rPr>
        <w:t xml:space="preserve">Because the market is unregulated and highly fragmented, there is no incumbent trust layer. The scam persists because the consumer has no leverage, no information, and no time. Keywize supplies all three.</w:t>
      </w:r>
    </w:p>
    <w:p>
      <w:pPr>
        <w:pStyle w:val="Heading1"/>
        <w:spacing w:after="140" w:before="320"/>
      </w:pPr>
      <w:r>
        <w:rPr>
          <w:rFonts w:ascii="Calibri" w:cs="Calibri" w:eastAsia="Calibri" w:hAnsi="Calibri"/>
          <w:b/>
          <w:bCs/>
          <w:color w:val="1F3864"/>
          <w:sz w:val="30"/>
          <w:szCs w:val="30"/>
        </w:rPr>
        <w:t xml:space="preserve">3. The Solution: Autonomous AI Intervention</w:t>
      </w:r>
    </w:p>
    <w:p>
      <w:pPr>
        <w:spacing w:after="120" w:line="276"/>
      </w:pPr>
      <w:r>
        <w:rPr>
          <w:rFonts w:ascii="Calibri" w:cs="Calibri" w:eastAsia="Calibri" w:hAnsi="Calibri"/>
          <w:sz w:val="22"/>
          <w:szCs w:val="22"/>
        </w:rPr>
        <w:t xml:space="preserve">Keywize removes the panicked human from the procurement loop entirely. When an emergency occurs, the user makes one call and the AI agent takes over:</w:t>
      </w:r>
    </w:p>
    <w:p>
      <w:pPr>
        <w:pStyle w:val="ListParagraph"/>
        <w:numPr>
          <w:ilvl w:val="0"/>
          <w:numId w:val="2"/>
        </w:numPr>
        <w:spacing w:after="80" w:line="276"/>
      </w:pPr>
      <w:r>
        <w:rPr>
          <w:rFonts w:ascii="Calibri" w:cs="Calibri" w:eastAsia="Calibri" w:hAnsi="Calibri"/>
          <w:b/>
          <w:bCs/>
          <w:sz w:val="22"/>
          <w:szCs w:val="22"/>
        </w:rPr>
        <w:t xml:space="preserve">Scam recognition. </w:t>
      </w:r>
      <w:r>
        <w:rPr>
          <w:rFonts w:ascii="Calibri" w:cs="Calibri" w:eastAsia="Calibri" w:hAnsi="Calibri"/>
          <w:sz w:val="22"/>
          <w:szCs w:val="22"/>
        </w:rPr>
        <w:t xml:space="preserve">The agent calls multiple local vendors and analyzes dispatcher responses against a rules-based risk model: refusal to give an all-in total, “starts at” pricing, drilling mentioned before diagnosis, refusal to name the invoicing company, no ID requirement, and quotes far outside the local median all add risk points. Vendors are scored Low / Medium / High risk.</w:t>
      </w:r>
    </w:p>
    <w:p>
      <w:pPr>
        <w:pStyle w:val="ListParagraph"/>
        <w:numPr>
          <w:ilvl w:val="0"/>
          <w:numId w:val="2"/>
        </w:numPr>
        <w:spacing w:after="80" w:line="276"/>
      </w:pPr>
      <w:r>
        <w:rPr>
          <w:rFonts w:ascii="Calibri" w:cs="Calibri" w:eastAsia="Calibri" w:hAnsi="Calibri"/>
          <w:b/>
          <w:bCs/>
          <w:sz w:val="22"/>
          <w:szCs w:val="22"/>
        </w:rPr>
        <w:t xml:space="preserve">Hard bargaining. </w:t>
      </w:r>
      <w:r>
        <w:rPr>
          <w:rFonts w:ascii="Calibri" w:cs="Calibri" w:eastAsia="Calibri" w:hAnsi="Calibri"/>
          <w:sz w:val="22"/>
          <w:szCs w:val="22"/>
        </w:rPr>
        <w:t xml:space="preserve">Unburdened by panic, the agent cross-references quotes against each other and negotiates price and terms — e.g., “I have a confirmed quote at $130 all-in with no-drill-first. Can you match it or include two keys?” The agent never invents quotes; all leverage is real and transcript-backed.</w:t>
      </w:r>
    </w:p>
    <w:p>
      <w:pPr>
        <w:pStyle w:val="ListParagraph"/>
        <w:numPr>
          <w:ilvl w:val="0"/>
          <w:numId w:val="2"/>
        </w:numPr>
        <w:spacing w:after="80" w:line="276"/>
      </w:pPr>
      <w:r>
        <w:rPr>
          <w:rFonts w:ascii="Calibri" w:cs="Calibri" w:eastAsia="Calibri" w:hAnsi="Calibri"/>
          <w:b/>
          <w:bCs/>
          <w:sz w:val="22"/>
          <w:szCs w:val="22"/>
        </w:rPr>
        <w:t xml:space="preserve">Price fixation. </w:t>
      </w:r>
      <w:r>
        <w:rPr>
          <w:rFonts w:ascii="Calibri" w:cs="Calibri" w:eastAsia="Calibri" w:hAnsi="Calibri"/>
          <w:sz w:val="22"/>
          <w:szCs w:val="22"/>
        </w:rPr>
        <w:t xml:space="preserve">The agent locks an honest, final, all-in price — dispatch, labor, parts, after-hours fees, and tax — before the technician is dispatched, neutralizing on-site extortion.</w:t>
      </w:r>
    </w:p>
    <w:p>
      <w:pPr>
        <w:pStyle w:val="ListParagraph"/>
        <w:numPr>
          <w:ilvl w:val="0"/>
          <w:numId w:val="2"/>
        </w:numPr>
        <w:spacing w:after="80" w:line="276"/>
      </w:pPr>
      <w:r>
        <w:rPr>
          <w:rFonts w:ascii="Calibri" w:cs="Calibri" w:eastAsia="Calibri" w:hAnsi="Calibri"/>
          <w:b/>
          <w:bCs/>
          <w:sz w:val="22"/>
          <w:szCs w:val="22"/>
        </w:rPr>
        <w:t xml:space="preserve">Consumer protection by design. </w:t>
      </w:r>
      <w:r>
        <w:rPr>
          <w:rFonts w:ascii="Calibri" w:cs="Calibri" w:eastAsia="Calibri" w:hAnsi="Calibri"/>
          <w:sz w:val="22"/>
          <w:szCs w:val="22"/>
        </w:rPr>
        <w:t xml:space="preserve">No-drill-first verification, a hard max-budget guardrail requiring user approval above budget, authorization and proof-of-residence checks, and a final report with transcript evidence for every claim.</w:t>
      </w:r>
    </w:p>
    <w:p>
      <w:pPr>
        <w:pStyle w:val="Heading1"/>
        <w:spacing w:after="140" w:before="320"/>
      </w:pPr>
      <w:r>
        <w:rPr>
          <w:rFonts w:ascii="Calibri" w:cs="Calibri" w:eastAsia="Calibri" w:hAnsi="Calibri"/>
          <w:b/>
          <w:bCs/>
          <w:color w:val="1F3864"/>
          <w:sz w:val="30"/>
          <w:szCs w:val="30"/>
        </w:rPr>
        <w:t xml:space="preserve">4. Market Opportunity (TAM / SAM / SOM)</w:t>
      </w:r>
    </w:p>
    <w:p>
      <w:pPr>
        <w:spacing w:after="120" w:line="276"/>
      </w:pPr>
      <w:r>
        <w:rPr>
          <w:rFonts w:ascii="Calibri" w:cs="Calibri" w:eastAsia="Calibri" w:hAnsi="Calibri"/>
          <w:sz w:val="22"/>
          <w:szCs w:val="22"/>
        </w:rPr>
        <w:t xml:space="preserve">Physical security is a necessity purchase, making the market resilient and steadily growing.</w:t>
      </w:r>
    </w:p>
    <w:p>
      <w:pPr>
        <w:pStyle w:val="ListParagraph"/>
        <w:numPr>
          <w:ilvl w:val="0"/>
          <w:numId w:val="2"/>
        </w:numPr>
        <w:spacing w:after="80" w:line="276"/>
      </w:pPr>
      <w:r>
        <w:rPr>
          <w:rFonts w:ascii="Calibri" w:cs="Calibri" w:eastAsia="Calibri" w:hAnsi="Calibri"/>
          <w:b/>
          <w:bCs/>
          <w:sz w:val="22"/>
          <w:szCs w:val="22"/>
        </w:rPr>
        <w:t xml:space="preserve">TAM: </w:t>
      </w:r>
      <w:r>
        <w:rPr>
          <w:rFonts w:ascii="Calibri" w:cs="Calibri" w:eastAsia="Calibri" w:hAnsi="Calibri"/>
          <w:sz w:val="22"/>
          <w:szCs w:val="22"/>
        </w:rPr>
        <w:t xml:space="preserve">The global locksmith services market is valued at $14.2B in 2025, projected to reach $21.0B by 2034 (4.8% CAGR).</w:t>
      </w:r>
    </w:p>
    <w:p>
      <w:pPr>
        <w:pStyle w:val="ListParagraph"/>
        <w:numPr>
          <w:ilvl w:val="0"/>
          <w:numId w:val="2"/>
        </w:numPr>
        <w:spacing w:after="80" w:line="276"/>
      </w:pPr>
      <w:r>
        <w:rPr>
          <w:rFonts w:ascii="Calibri" w:cs="Calibri" w:eastAsia="Calibri" w:hAnsi="Calibri"/>
          <w:b/>
          <w:bCs/>
          <w:sz w:val="22"/>
          <w:szCs w:val="22"/>
        </w:rPr>
        <w:t xml:space="preserve">SAM: </w:t>
      </w:r>
      <w:r>
        <w:rPr>
          <w:rFonts w:ascii="Calibri" w:cs="Calibri" w:eastAsia="Calibri" w:hAnsi="Calibri"/>
          <w:sz w:val="22"/>
          <w:szCs w:val="22"/>
        </w:rPr>
        <w:t xml:space="preserve">Highly fragmented, localized markets — led by the ~$3.0B U.S. sector, driven largely by mobile and automotive operations.</w:t>
      </w:r>
    </w:p>
    <w:p>
      <w:pPr>
        <w:pStyle w:val="ListParagraph"/>
        <w:numPr>
          <w:ilvl w:val="0"/>
          <w:numId w:val="2"/>
        </w:numPr>
        <w:spacing w:after="80" w:line="276"/>
      </w:pPr>
      <w:r>
        <w:rPr>
          <w:rFonts w:ascii="Calibri" w:cs="Calibri" w:eastAsia="Calibri" w:hAnsi="Calibri"/>
          <w:b/>
          <w:bCs/>
          <w:sz w:val="22"/>
          <w:szCs w:val="22"/>
        </w:rPr>
        <w:t xml:space="preserve">SOM: </w:t>
      </w:r>
      <w:r>
        <w:rPr>
          <w:rFonts w:ascii="Calibri" w:cs="Calibri" w:eastAsia="Calibri" w:hAnsi="Calibri"/>
          <w:sz w:val="22"/>
          <w:szCs w:val="22"/>
        </w:rPr>
        <w:t xml:space="preserve">The emergency lockout segment — a premium-priced market in which 67% of demand occurs outside traditional business hours, precisely when consumers are most vulnerable and price opacity is greatest.</w:t>
      </w:r>
    </w:p>
    <w:p>
      <w:pPr>
        <w:spacing w:after="120" w:line="276"/>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200"/>
        <w:gridCol w:w="1160"/>
      </w:tblGrid>
      <w:tr>
        <w:trPr>
          <w:tblHeader/>
        </w:trPr>
        <w:tc>
          <w:tcPr>
            <w:tcW w:type="dxa" w:w="3800"/>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Market Segment</w:t>
            </w:r>
          </w:p>
        </w:tc>
        <w:tc>
          <w:tcPr>
            <w:tcW w:type="dxa" w:w="2200"/>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Current Value</w:t>
            </w:r>
          </w:p>
        </w:tc>
        <w:tc>
          <w:tcPr>
            <w:tcW w:type="dxa" w:w="2200"/>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Projected Value</w:t>
            </w:r>
          </w:p>
        </w:tc>
        <w:tc>
          <w:tcPr>
            <w:tcW w:type="dxa" w:w="1160"/>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CAGR</w:t>
            </w:r>
          </w:p>
        </w:tc>
      </w:tr>
      <w:tr>
        <w:tc>
          <w:tcPr>
            <w:tcW w:type="dxa" w:w="38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global locksmith services (incl. hardware)</w:t>
            </w:r>
          </w:p>
        </w:tc>
        <w:tc>
          <w:tcPr>
            <w:tcW w:type="dxa" w:w="22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$14.2B (2025)</w:t>
            </w:r>
          </w:p>
        </w:tc>
        <w:tc>
          <w:tcPr>
            <w:tcW w:type="dxa" w:w="22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$21.0B (2034)</w:t>
            </w:r>
          </w:p>
        </w:tc>
        <w:tc>
          <w:tcPr>
            <w:tcW w:type="dxa" w:w="116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4.8%</w:t>
            </w:r>
          </w:p>
        </w:tc>
      </w:tr>
      <w:tr>
        <w:tc>
          <w:tcPr>
            <w:tcW w:type="dxa" w:w="38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Global locksmith services (pure service, NAICS 561622)</w:t>
            </w:r>
          </w:p>
        </w:tc>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$9.1B (2024/25)</w:t>
            </w:r>
          </w:p>
        </w:tc>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t>
            </w:r>
          </w:p>
        </w:tc>
        <w:tc>
          <w:tcPr>
            <w:tcW w:type="dxa" w:w="1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t>
            </w:r>
          </w:p>
        </w:tc>
      </w:tr>
      <w:tr>
        <w:tc>
          <w:tcPr>
            <w:tcW w:type="dxa" w:w="38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Global key duplication sub-sector</w:t>
            </w:r>
          </w:p>
        </w:tc>
        <w:tc>
          <w:tcPr>
            <w:tcW w:type="dxa" w:w="22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$2.3B (2024)</w:t>
            </w:r>
          </w:p>
        </w:tc>
        <w:tc>
          <w:tcPr>
            <w:tcW w:type="dxa" w:w="22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t>
            </w:r>
          </w:p>
        </w:tc>
        <w:tc>
          <w:tcPr>
            <w:tcW w:type="dxa" w:w="116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8.0%</w:t>
            </w:r>
          </w:p>
        </w:tc>
      </w:tr>
      <w:tr>
        <w:tc>
          <w:tcPr>
            <w:tcW w:type="dxa" w:w="38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Global locksmith franchise market</w:t>
            </w:r>
          </w:p>
        </w:tc>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$0.849B (2025)</w:t>
            </w:r>
          </w:p>
        </w:tc>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$2.034B (2034)</w:t>
            </w:r>
          </w:p>
        </w:tc>
        <w:tc>
          <w:tcPr>
            <w:tcW w:type="dxa" w:w="1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10.2%</w:t>
            </w:r>
          </w:p>
        </w:tc>
      </w:tr>
      <w:tr>
        <w:tc>
          <w:tcPr>
            <w:tcW w:type="dxa" w:w="38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Global locksmith tools market</w:t>
            </w:r>
          </w:p>
        </w:tc>
        <w:tc>
          <w:tcPr>
            <w:tcW w:type="dxa" w:w="22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$85M (2023)</w:t>
            </w:r>
          </w:p>
        </w:tc>
        <w:tc>
          <w:tcPr>
            <w:tcW w:type="dxa" w:w="22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$97M (2030)</w:t>
            </w:r>
          </w:p>
        </w:tc>
        <w:tc>
          <w:tcPr>
            <w:tcW w:type="dxa" w:w="116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1.9%</w:t>
            </w:r>
          </w:p>
        </w:tc>
      </w:tr>
    </w:tbl>
    <w:p>
      <w:pPr>
        <w:spacing w:after="120" w:line="276"/>
      </w:pPr>
      <w:r>
        <w:rPr>
          <w:rFonts w:ascii="Calibri" w:cs="Calibri" w:eastAsia="Calibri" w:hAnsi="Calibri"/>
          <w:sz w:val="22"/>
          <w:szCs w:val="22"/>
        </w:rPr>
        <w:t xml:space="preserve"/>
      </w:r>
    </w:p>
    <w:p>
      <w:pPr>
        <w:pStyle w:val="Heading1"/>
        <w:spacing w:after="140" w:before="320"/>
      </w:pPr>
      <w:r>
        <w:rPr>
          <w:rFonts w:ascii="Calibri" w:cs="Calibri" w:eastAsia="Calibri" w:hAnsi="Calibri"/>
          <w:b/>
          <w:bCs/>
          <w:color w:val="1F3864"/>
          <w:sz w:val="30"/>
          <w:szCs w:val="30"/>
        </w:rPr>
        <w:t xml:space="preserve">5. Revenue Model and Unit Economics</w:t>
      </w:r>
    </w:p>
    <w:p>
      <w:pPr>
        <w:spacing w:after="120" w:line="276"/>
      </w:pPr>
      <w:r>
        <w:rPr>
          <w:rFonts w:ascii="Calibri" w:cs="Calibri" w:eastAsia="Calibri" w:hAnsi="Calibri"/>
          <w:sz w:val="22"/>
          <w:szCs w:val="22"/>
        </w:rPr>
        <w:t xml:space="preserve">Keywize uses a </w:t>
      </w:r>
      <w:r>
        <w:rPr>
          <w:rFonts w:ascii="Calibri" w:cs="Calibri" w:eastAsia="Calibri" w:hAnsi="Calibri"/>
          <w:b/>
          <w:bCs/>
          <w:sz w:val="22"/>
          <w:szCs w:val="22"/>
        </w:rPr>
        <w:t xml:space="preserve">success-fee model</w:t>
      </w:r>
      <w:r>
        <w:rPr>
          <w:rFonts w:ascii="Calibri" w:cs="Calibri" w:eastAsia="Calibri" w:hAnsi="Calibri"/>
          <w:sz w:val="22"/>
          <w:szCs w:val="22"/>
        </w:rPr>
        <w:t xml:space="preserve"> billed directly to the consumer, modeled on proven consumer-advocacy economics (e.g., Goodbill, Resolve). The incentive alignment is total: we earn only when the user verifiably saves money.</w:t>
      </w:r>
    </w:p>
    <w:p>
      <w:pPr>
        <w:pStyle w:val="ListParagraph"/>
        <w:numPr>
          <w:ilvl w:val="0"/>
          <w:numId w:val="2"/>
        </w:numPr>
        <w:spacing w:after="80" w:line="276"/>
      </w:pPr>
      <w:r>
        <w:rPr>
          <w:rFonts w:ascii="Calibri" w:cs="Calibri" w:eastAsia="Calibri" w:hAnsi="Calibri"/>
          <w:b/>
          <w:bCs/>
          <w:sz w:val="22"/>
          <w:szCs w:val="22"/>
        </w:rPr>
        <w:t xml:space="preserve">Take rate: </w:t>
      </w:r>
      <w:r>
        <w:rPr>
          <w:rFonts w:ascii="Calibri" w:cs="Calibri" w:eastAsia="Calibri" w:hAnsi="Calibri"/>
          <w:sz w:val="22"/>
          <w:szCs w:val="22"/>
        </w:rPr>
        <w:t xml:space="preserve">20–25% of verified savings, computed against the first (bait) quote or local market median. No savings, no fee.</w:t>
      </w:r>
    </w:p>
    <w:p>
      <w:pPr>
        <w:pStyle w:val="ListParagraph"/>
        <w:numPr>
          <w:ilvl w:val="0"/>
          <w:numId w:val="2"/>
        </w:numPr>
        <w:spacing w:after="80" w:line="276"/>
      </w:pPr>
      <w:r>
        <w:rPr>
          <w:rFonts w:ascii="Calibri" w:cs="Calibri" w:eastAsia="Calibri" w:hAnsi="Calibri"/>
          <w:b/>
          <w:bCs/>
          <w:sz w:val="22"/>
          <w:szCs w:val="22"/>
        </w:rPr>
        <w:t xml:space="preserve">Price floor: </w:t>
      </w:r>
      <w:r>
        <w:rPr>
          <w:rFonts w:ascii="Calibri" w:cs="Calibri" w:eastAsia="Calibri" w:hAnsi="Calibri"/>
          <w:sz w:val="22"/>
          <w:szCs w:val="22"/>
        </w:rPr>
        <w:t xml:space="preserve">~$12–$15 minimum fee on small-ticket jobs like locksmith calls, ensuring positive contribution per job.</w:t>
      </w:r>
    </w:p>
    <w:p>
      <w:pPr>
        <w:pStyle w:val="ListParagraph"/>
        <w:numPr>
          <w:ilvl w:val="0"/>
          <w:numId w:val="2"/>
        </w:numPr>
        <w:spacing w:after="80" w:line="276"/>
      </w:pPr>
      <w:r>
        <w:rPr>
          <w:rFonts w:ascii="Calibri" w:cs="Calibri" w:eastAsia="Calibri" w:hAnsi="Calibri"/>
          <w:b/>
          <w:bCs/>
          <w:sz w:val="22"/>
          <w:szCs w:val="22"/>
        </w:rPr>
        <w:t xml:space="preserve">Price ceiling: </w:t>
      </w:r>
      <w:r>
        <w:rPr>
          <w:rFonts w:ascii="Calibri" w:cs="Calibri" w:eastAsia="Calibri" w:hAnsi="Calibri"/>
          <w:sz w:val="22"/>
          <w:szCs w:val="22"/>
        </w:rPr>
        <w:t xml:space="preserve">A hard cap of $150–$250 as we expand into larger-ticket adjacent emergency verticals (e.g., emergency moving, urgent home repair), so the fee never looks predatory on very large savings ($2,000+).</w:t>
      </w:r>
    </w:p>
    <w:p>
      <w:pPr>
        <w:pStyle w:val="Heading2"/>
        <w:spacing w:after="100" w:before="240"/>
      </w:pPr>
      <w:r>
        <w:rPr>
          <w:rFonts w:ascii="Calibri" w:cs="Calibri" w:eastAsia="Calibri" w:hAnsi="Calibri"/>
          <w:b/>
          <w:bCs/>
          <w:color w:val="1F3864"/>
          <w:sz w:val="25"/>
          <w:szCs w:val="25"/>
        </w:rPr>
        <w:t xml:space="preserve">Worked Example (Demo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2300"/>
        <w:gridCol w:w="2360"/>
      </w:tblGrid>
      <w:tr>
        <w:trPr>
          <w:tblHeader/>
        </w:trPr>
        <w:tc>
          <w:tcPr>
            <w:tcW w:type="dxa" w:w="4700"/>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Line Item</w:t>
            </w:r>
          </w:p>
        </w:tc>
        <w:tc>
          <w:tcPr>
            <w:tcW w:type="dxa" w:w="2300"/>
            <w:shd w:fill="1F3864"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Without Keywize</w:t>
            </w:r>
          </w:p>
        </w:tc>
        <w:tc>
          <w:tcPr>
            <w:tcW w:type="dxa" w:w="2360"/>
            <w:shd w:fill="1F3864"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With Keywize</w:t>
            </w:r>
          </w:p>
        </w:tc>
      </w:tr>
      <w:tr>
        <w:tc>
          <w:tcPr>
            <w:tcW w:type="dxa" w:w="47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Phone “bait” quote</w:t>
            </w:r>
          </w:p>
        </w:tc>
        <w:tc>
          <w:tcPr>
            <w:tcW w:type="dxa" w:w="2300"/>
            <w:shd w:fill="D9E2F3" w:val="clear"/>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$39</w:t>
            </w:r>
          </w:p>
        </w:tc>
        <w:tc>
          <w:tcPr>
            <w:tcW w:type="dxa" w:w="2360"/>
            <w:shd w:fill="D9E2F3" w:val="clear"/>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t>
            </w:r>
          </w:p>
        </w:tc>
      </w:tr>
      <w:tr>
        <w:tc>
          <w:tcPr>
            <w:tcW w:type="dxa" w:w="47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Final on-site bill (typical bait-and-switch outcome)</w:t>
            </w:r>
          </w:p>
        </w:tc>
        <w:tc>
          <w:tcPr>
            <w:tcW w:type="dxa" w:w="23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$225</w:t>
            </w:r>
          </w:p>
        </w:tc>
        <w:tc>
          <w:tcPr>
            <w:tcW w:type="dxa" w:w="2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t>
            </w:r>
          </w:p>
        </w:tc>
      </w:tr>
      <w:tr>
        <w:tc>
          <w:tcPr>
            <w:tcW w:type="dxa" w:w="47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Negotiated, all-in, transcript-verified price</w:t>
            </w:r>
          </w:p>
        </w:tc>
        <w:tc>
          <w:tcPr>
            <w:tcW w:type="dxa" w:w="2300"/>
            <w:shd w:fill="D9E2F3" w:val="clear"/>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t>
            </w:r>
          </w:p>
        </w:tc>
        <w:tc>
          <w:tcPr>
            <w:tcW w:type="dxa" w:w="2360"/>
            <w:shd w:fill="D9E2F3" w:val="clear"/>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$85</w:t>
            </w:r>
          </w:p>
        </w:tc>
      </w:tr>
      <w:tr>
        <w:tc>
          <w:tcPr>
            <w:tcW w:type="dxa" w:w="47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Verified consumer savings</w:t>
            </w:r>
          </w:p>
        </w:tc>
        <w:tc>
          <w:tcPr>
            <w:tcW w:type="dxa" w:w="230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t>
            </w:r>
          </w:p>
        </w:tc>
        <w:tc>
          <w:tcPr>
            <w:tcW w:type="dxa" w:w="2360"/>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$140</w:t>
            </w:r>
          </w:p>
        </w:tc>
      </w:tr>
      <w:tr>
        <w:tc>
          <w:tcPr>
            <w:tcW w:type="dxa" w:w="4700"/>
            <w:shd w:fill="D9E2F3"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Keywize success fee (~20% of savings, floor applies)</w:t>
            </w:r>
          </w:p>
        </w:tc>
        <w:tc>
          <w:tcPr>
            <w:tcW w:type="dxa" w:w="2300"/>
            <w:shd w:fill="D9E2F3" w:val="clear"/>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w:t>
            </w:r>
          </w:p>
        </w:tc>
        <w:tc>
          <w:tcPr>
            <w:tcW w:type="dxa" w:w="2360"/>
            <w:shd w:fill="D9E2F3" w:val="clear"/>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$15</w:t>
            </w:r>
          </w:p>
        </w:tc>
      </w:tr>
      <w:tr>
        <w:tc>
          <w:tcPr>
            <w:tcW w:type="dxa" w:w="4700"/>
            <w:tcMar>
              <w:top w:type="dxa" w:w="80"/>
              <w:left w:type="dxa" w:w="120"/>
              <w:bottom w:type="dxa" w:w="80"/>
              <w:right w:type="dxa" w:w="120"/>
            </w:tcMar>
          </w:tcPr>
          <w:p>
            <w:pPr>
              <w:jc w:val="left"/>
            </w:pPr>
            <w:r>
              <w:rPr>
                <w:rFonts w:ascii="Calibri" w:cs="Calibri" w:eastAsia="Calibri" w:hAnsi="Calibri"/>
                <w:b/>
                <w:bCs/>
                <w:color w:val="000000"/>
                <w:sz w:val="20"/>
                <w:szCs w:val="20"/>
              </w:rPr>
              <w:t xml:space="preserve">Total consumer cost</w:t>
            </w:r>
          </w:p>
        </w:tc>
        <w:tc>
          <w:tcPr>
            <w:tcW w:type="dxa" w:w="2300"/>
            <w:tcMar>
              <w:top w:type="dxa" w:w="80"/>
              <w:left w:type="dxa" w:w="120"/>
              <w:bottom w:type="dxa" w:w="80"/>
              <w:right w:type="dxa" w:w="120"/>
            </w:tcMar>
          </w:tcPr>
          <w:p>
            <w:pPr>
              <w:jc w:val="right"/>
            </w:pPr>
            <w:r>
              <w:rPr>
                <w:rFonts w:ascii="Calibri" w:cs="Calibri" w:eastAsia="Calibri" w:hAnsi="Calibri"/>
                <w:b/>
                <w:bCs/>
                <w:color w:val="000000"/>
                <w:sz w:val="20"/>
                <w:szCs w:val="20"/>
              </w:rPr>
              <w:t xml:space="preserve">$225</w:t>
            </w:r>
          </w:p>
        </w:tc>
        <w:tc>
          <w:tcPr>
            <w:tcW w:type="dxa" w:w="2360"/>
            <w:tcMar>
              <w:top w:type="dxa" w:w="80"/>
              <w:left w:type="dxa" w:w="120"/>
              <w:bottom w:type="dxa" w:w="80"/>
              <w:right w:type="dxa" w:w="120"/>
            </w:tcMar>
          </w:tcPr>
          <w:p>
            <w:pPr>
              <w:jc w:val="right"/>
            </w:pPr>
            <w:r>
              <w:rPr>
                <w:rFonts w:ascii="Calibri" w:cs="Calibri" w:eastAsia="Calibri" w:hAnsi="Calibri"/>
                <w:b/>
                <w:bCs/>
                <w:color w:val="000000"/>
                <w:sz w:val="20"/>
                <w:szCs w:val="20"/>
              </w:rPr>
              <w:t xml:space="preserve">$100</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The psychological pitch: </w:t>
      </w:r>
      <w:r>
        <w:rPr>
          <w:rFonts w:ascii="Calibri" w:cs="Calibri" w:eastAsia="Calibri" w:hAnsi="Calibri"/>
          <w:sz w:val="22"/>
          <w:szCs w:val="22"/>
        </w:rPr>
        <w:t xml:space="preserve">demand in acute distress is inelastic, but our fee is anchored to savings, not distress. The consumer pays $100 total instead of $225, and the value narrative is instantly legible: the customer, the honest vendor, and Keywize all win; only the scammer loses.</w:t>
      </w:r>
    </w:p>
    <w:p>
      <w:pPr>
        <w:pStyle w:val="Heading1"/>
        <w:spacing w:after="140" w:before="320"/>
      </w:pPr>
      <w:r>
        <w:rPr>
          <w:rFonts w:ascii="Calibri" w:cs="Calibri" w:eastAsia="Calibri" w:hAnsi="Calibri"/>
          <w:b/>
          <w:bCs/>
          <w:color w:val="1F3864"/>
          <w:sz w:val="30"/>
          <w:szCs w:val="30"/>
        </w:rPr>
        <w:t xml:space="preserve">6. Differentiation</w:t>
      </w:r>
    </w:p>
    <w:p>
      <w:pPr>
        <w:spacing w:after="120" w:line="276"/>
      </w:pPr>
      <w:r>
        <w:rPr>
          <w:rFonts w:ascii="Calibri" w:cs="Calibri" w:eastAsia="Calibri" w:hAnsi="Calibri"/>
          <w:sz w:val="22"/>
          <w:szCs w:val="22"/>
        </w:rPr>
        <w:t xml:space="preserve">Keywize is not a generic quote-comparison tool. It is an emergency anti-scam negotiator, and its defensibility comes from the protective layer, not the phone calls:</w:t>
      </w:r>
    </w:p>
    <w:p>
      <w:pPr>
        <w:pStyle w:val="ListParagraph"/>
        <w:numPr>
          <w:ilvl w:val="0"/>
          <w:numId w:val="2"/>
        </w:numPr>
        <w:spacing w:after="80" w:line="276"/>
      </w:pPr>
      <w:r>
        <w:rPr>
          <w:rFonts w:ascii="Calibri" w:cs="Calibri" w:eastAsia="Calibri" w:hAnsi="Calibri"/>
          <w:sz w:val="22"/>
          <w:szCs w:val="22"/>
        </w:rPr>
        <w:t xml:space="preserve">Bait-and-switch risk score computed from live dispatcher behavior on recorded calls</w:t>
      </w:r>
    </w:p>
    <w:p>
      <w:pPr>
        <w:pStyle w:val="ListParagraph"/>
        <w:numPr>
          <w:ilvl w:val="0"/>
          <w:numId w:val="2"/>
        </w:numPr>
        <w:spacing w:after="80" w:line="276"/>
      </w:pPr>
      <w:r>
        <w:rPr>
          <w:rFonts w:ascii="Calibri" w:cs="Calibri" w:eastAsia="Calibri" w:hAnsi="Calibri"/>
          <w:sz w:val="22"/>
          <w:szCs w:val="22"/>
        </w:rPr>
        <w:t xml:space="preserve">No-drill-first verification and drilling-condition interrogation before dispatch</w:t>
      </w:r>
    </w:p>
    <w:p>
      <w:pPr>
        <w:pStyle w:val="ListParagraph"/>
        <w:numPr>
          <w:ilvl w:val="0"/>
          <w:numId w:val="2"/>
        </w:numPr>
        <w:spacing w:after="80" w:line="276"/>
      </w:pPr>
      <w:r>
        <w:rPr>
          <w:rFonts w:ascii="Calibri" w:cs="Calibri" w:eastAsia="Calibri" w:hAnsi="Calibri"/>
          <w:sz w:val="22"/>
          <w:szCs w:val="22"/>
        </w:rPr>
        <w:t xml:space="preserve">Max-budget guardrail with mandatory user approval above budget</w:t>
      </w:r>
    </w:p>
    <w:p>
      <w:pPr>
        <w:pStyle w:val="ListParagraph"/>
        <w:numPr>
          <w:ilvl w:val="0"/>
          <w:numId w:val="2"/>
        </w:numPr>
        <w:spacing w:after="80" w:line="276"/>
      </w:pPr>
      <w:r>
        <w:rPr>
          <w:rFonts w:ascii="Calibri" w:cs="Calibri" w:eastAsia="Calibri" w:hAnsi="Calibri"/>
          <w:sz w:val="22"/>
          <w:szCs w:val="22"/>
        </w:rPr>
        <w:t xml:space="preserve">Authorization and proof-of-residence checks (protecting both tenants and vendors)</w:t>
      </w:r>
    </w:p>
    <w:p>
      <w:pPr>
        <w:pStyle w:val="ListParagraph"/>
        <w:numPr>
          <w:ilvl w:val="0"/>
          <w:numId w:val="2"/>
        </w:numPr>
        <w:spacing w:after="80" w:line="276"/>
      </w:pPr>
      <w:r>
        <w:rPr>
          <w:rFonts w:ascii="Calibri" w:cs="Calibri" w:eastAsia="Calibri" w:hAnsi="Calibri"/>
          <w:sz w:val="22"/>
          <w:szCs w:val="22"/>
        </w:rPr>
        <w:t xml:space="preserve">Terms negotiation (included keys, warranty, ETA), not only price negotiation</w:t>
      </w:r>
    </w:p>
    <w:p>
      <w:pPr>
        <w:pStyle w:val="ListParagraph"/>
        <w:numPr>
          <w:ilvl w:val="0"/>
          <w:numId w:val="2"/>
        </w:numPr>
        <w:spacing w:after="80" w:line="276"/>
      </w:pPr>
      <w:r>
        <w:rPr>
          <w:rFonts w:ascii="Calibri" w:cs="Calibri" w:eastAsia="Calibri" w:hAnsi="Calibri"/>
          <w:sz w:val="22"/>
          <w:szCs w:val="22"/>
        </w:rPr>
        <w:t xml:space="preserve">Transcript-backed recommendations — every claim in the final report cites call evidence</w:t>
      </w:r>
    </w:p>
    <w:p>
      <w:pPr>
        <w:pStyle w:val="ListParagraph"/>
        <w:numPr>
          <w:ilvl w:val="0"/>
          <w:numId w:val="2"/>
        </w:numPr>
        <w:spacing w:after="80" w:line="276"/>
      </w:pPr>
      <w:r>
        <w:rPr>
          <w:rFonts w:ascii="Calibri" w:cs="Calibri" w:eastAsia="Calibri" w:hAnsi="Calibri"/>
          <w:sz w:val="22"/>
          <w:szCs w:val="22"/>
        </w:rPr>
        <w:t xml:space="preserve">Phone-first experience via Twilio, so a user locked out without internet can still use the full service</w:t>
      </w:r>
    </w:p>
    <w:p>
      <w:pPr>
        <w:pStyle w:val="Heading1"/>
        <w:spacing w:after="140" w:before="320"/>
      </w:pPr>
      <w:r>
        <w:rPr>
          <w:rFonts w:ascii="Calibri" w:cs="Calibri" w:eastAsia="Calibri" w:hAnsi="Calibri"/>
          <w:b/>
          <w:bCs/>
          <w:color w:val="1F3864"/>
          <w:sz w:val="30"/>
          <w:szCs w:val="30"/>
        </w:rPr>
        <w:t xml:space="preserve">7. Go-to-Market</w:t>
      </w:r>
    </w:p>
    <w:p>
      <w:pPr>
        <w:pStyle w:val="ListParagraph"/>
        <w:numPr>
          <w:ilvl w:val="0"/>
          <w:numId w:val="2"/>
        </w:numPr>
        <w:spacing w:after="80" w:line="276"/>
      </w:pPr>
      <w:r>
        <w:rPr>
          <w:rFonts w:ascii="Calibri" w:cs="Calibri" w:eastAsia="Calibri" w:hAnsi="Calibri"/>
          <w:b/>
          <w:bCs/>
          <w:sz w:val="22"/>
          <w:szCs w:val="22"/>
        </w:rPr>
        <w:t xml:space="preserve">Wedge: </w:t>
      </w:r>
      <w:r>
        <w:rPr>
          <w:rFonts w:ascii="Calibri" w:cs="Calibri" w:eastAsia="Calibri" w:hAnsi="Calibri"/>
          <w:sz w:val="22"/>
          <w:szCs w:val="22"/>
        </w:rPr>
        <w:t xml:space="preserve">residential lockouts in one dense metro (renters, students, shared housing) — the exact segment with 1.9M annual incidents in NYC alone and the highest scam exposure.</w:t>
      </w:r>
    </w:p>
    <w:p>
      <w:pPr>
        <w:pStyle w:val="ListParagraph"/>
        <w:numPr>
          <w:ilvl w:val="0"/>
          <w:numId w:val="2"/>
        </w:numPr>
        <w:spacing w:after="80" w:line="276"/>
      </w:pPr>
      <w:r>
        <w:rPr>
          <w:rFonts w:ascii="Calibri" w:cs="Calibri" w:eastAsia="Calibri" w:hAnsi="Calibri"/>
          <w:b/>
          <w:bCs/>
          <w:sz w:val="22"/>
          <w:szCs w:val="22"/>
        </w:rPr>
        <w:t xml:space="preserve">Acquisition: </w:t>
      </w:r>
      <w:r>
        <w:rPr>
          <w:rFonts w:ascii="Calibri" w:cs="Calibri" w:eastAsia="Calibri" w:hAnsi="Calibri"/>
          <w:sz w:val="22"/>
          <w:szCs w:val="22"/>
        </w:rPr>
        <w:t xml:space="preserve">intercept the same moment scammers exploit — search intent at the moment of lockout — plus partnerships with property managers, universities, and renters’ insurance providers who bear the downstream cost of drilled locks.</w:t>
      </w:r>
    </w:p>
    <w:p>
      <w:pPr>
        <w:pStyle w:val="ListParagraph"/>
        <w:numPr>
          <w:ilvl w:val="0"/>
          <w:numId w:val="2"/>
        </w:numPr>
        <w:spacing w:after="80" w:line="276"/>
      </w:pPr>
      <w:r>
        <w:rPr>
          <w:rFonts w:ascii="Calibri" w:cs="Calibri" w:eastAsia="Calibri" w:hAnsi="Calibri"/>
          <w:b/>
          <w:bCs/>
          <w:sz w:val="22"/>
          <w:szCs w:val="22"/>
        </w:rPr>
        <w:t xml:space="preserve">Trust flywheel: </w:t>
      </w:r>
      <w:r>
        <w:rPr>
          <w:rFonts w:ascii="Calibri" w:cs="Calibri" w:eastAsia="Calibri" w:hAnsi="Calibri"/>
          <w:sz w:val="22"/>
          <w:szCs w:val="22"/>
        </w:rPr>
        <w:t xml:space="preserve">every completed job produces transcript evidence and vendor risk data, compounding into a proprietary vendor-reputation graph that no listings site possesses.</w:t>
      </w:r>
    </w:p>
    <w:p>
      <w:pPr>
        <w:pStyle w:val="ListParagraph"/>
        <w:numPr>
          <w:ilvl w:val="0"/>
          <w:numId w:val="2"/>
        </w:numPr>
        <w:spacing w:after="80" w:line="276"/>
      </w:pPr>
      <w:r>
        <w:rPr>
          <w:rFonts w:ascii="Calibri" w:cs="Calibri" w:eastAsia="Calibri" w:hAnsi="Calibri"/>
          <w:b/>
          <w:bCs/>
          <w:sz w:val="22"/>
          <w:szCs w:val="22"/>
        </w:rPr>
        <w:t xml:space="preserve">Expansion: </w:t>
      </w:r>
      <w:r>
        <w:rPr>
          <w:rFonts w:ascii="Calibri" w:cs="Calibri" w:eastAsia="Calibri" w:hAnsi="Calibri"/>
          <w:sz w:val="22"/>
          <w:szCs w:val="22"/>
        </w:rPr>
        <w:t xml:space="preserve">automotive lockouts, then adjacent panic-purchase verticals (emergency plumbing, towing, urgent moving) where the same bait-and-switch mechanics and the same success-fee model apply.</w:t>
      </w:r>
    </w:p>
    <w:p>
      <w:pPr>
        <w:pStyle w:val="Heading1"/>
        <w:spacing w:after="140" w:before="320"/>
      </w:pPr>
      <w:r>
        <w:rPr>
          <w:rFonts w:ascii="Calibri" w:cs="Calibri" w:eastAsia="Calibri" w:hAnsi="Calibri"/>
          <w:b/>
          <w:bCs/>
          <w:color w:val="1F3864"/>
          <w:sz w:val="30"/>
          <w:szCs w:val="30"/>
        </w:rPr>
        <w:t xml:space="preserve">8. Key Risks and Mitigations</w:t>
      </w:r>
    </w:p>
    <w:p>
      <w:pPr>
        <w:pStyle w:val="ListParagraph"/>
        <w:numPr>
          <w:ilvl w:val="0"/>
          <w:numId w:val="2"/>
        </w:numPr>
        <w:spacing w:after="80" w:line="276"/>
      </w:pPr>
      <w:r>
        <w:rPr>
          <w:rFonts w:ascii="Calibri" w:cs="Calibri" w:eastAsia="Calibri" w:hAnsi="Calibri"/>
          <w:b/>
          <w:bCs/>
          <w:sz w:val="22"/>
          <w:szCs w:val="22"/>
        </w:rPr>
        <w:t xml:space="preserve">Vendor non-cooperation with AI callers: </w:t>
      </w:r>
      <w:r>
        <w:rPr>
          <w:rFonts w:ascii="Calibri" w:cs="Calibri" w:eastAsia="Calibri" w:hAnsi="Calibri"/>
          <w:sz w:val="22"/>
          <w:szCs w:val="22"/>
        </w:rPr>
        <w:t xml:space="preserve">the agent discloses it is an AI when asked and offers vendors real, immediate, payment-ready jobs — honest locksmiths gain qualified demand at zero acquisition cost.</w:t>
      </w:r>
    </w:p>
    <w:p>
      <w:pPr>
        <w:pStyle w:val="ListParagraph"/>
        <w:numPr>
          <w:ilvl w:val="0"/>
          <w:numId w:val="2"/>
        </w:numPr>
        <w:spacing w:after="80" w:line="276"/>
      </w:pPr>
      <w:r>
        <w:rPr>
          <w:rFonts w:ascii="Calibri" w:cs="Calibri" w:eastAsia="Calibri" w:hAnsi="Calibri"/>
          <w:b/>
          <w:bCs/>
          <w:sz w:val="22"/>
          <w:szCs w:val="22"/>
        </w:rPr>
        <w:t xml:space="preserve">Savings verification disputes: </w:t>
      </w:r>
      <w:r>
        <w:rPr>
          <w:rFonts w:ascii="Calibri" w:cs="Calibri" w:eastAsia="Calibri" w:hAnsi="Calibri"/>
          <w:sz w:val="22"/>
          <w:szCs w:val="22"/>
        </w:rPr>
        <w:t xml:space="preserve">savings are computed transparently from recorded quotes and local medians, with transcripts available to the user.</w:t>
      </w:r>
    </w:p>
    <w:p>
      <w:pPr>
        <w:pStyle w:val="ListParagraph"/>
        <w:numPr>
          <w:ilvl w:val="0"/>
          <w:numId w:val="2"/>
        </w:numPr>
        <w:spacing w:after="80" w:line="276"/>
      </w:pPr>
      <w:r>
        <w:rPr>
          <w:rFonts w:ascii="Calibri" w:cs="Calibri" w:eastAsia="Calibri" w:hAnsi="Calibri"/>
          <w:b/>
          <w:bCs/>
          <w:sz w:val="22"/>
          <w:szCs w:val="22"/>
        </w:rPr>
        <w:t xml:space="preserve">Low frequency per user: </w:t>
      </w:r>
      <w:r>
        <w:rPr>
          <w:rFonts w:ascii="Calibri" w:cs="Calibri" w:eastAsia="Calibri" w:hAnsi="Calibri"/>
          <w:sz w:val="22"/>
          <w:szCs w:val="22"/>
        </w:rPr>
        <w:t xml:space="preserve">lockouts are rare per individual; mitigated by high per-incident value, B2B2C distribution (property managers, insurers), and multi-vertical expansion.</w:t>
      </w:r>
    </w:p>
    <w:p>
      <w:pPr>
        <w:pStyle w:val="ListParagraph"/>
        <w:numPr>
          <w:ilvl w:val="0"/>
          <w:numId w:val="2"/>
        </w:numPr>
        <w:spacing w:after="80" w:line="276"/>
      </w:pPr>
      <w:r>
        <w:rPr>
          <w:rFonts w:ascii="Calibri" w:cs="Calibri" w:eastAsia="Calibri" w:hAnsi="Calibri"/>
          <w:b/>
          <w:bCs/>
          <w:sz w:val="22"/>
          <w:szCs w:val="22"/>
        </w:rPr>
        <w:t xml:space="preserve">Call recording compliance: </w:t>
      </w:r>
      <w:r>
        <w:rPr>
          <w:rFonts w:ascii="Calibri" w:cs="Calibri" w:eastAsia="Calibri" w:hAnsi="Calibri"/>
          <w:sz w:val="22"/>
          <w:szCs w:val="22"/>
        </w:rPr>
        <w:t xml:space="preserve">consent disclosures adapted per jurisdiction (one-party vs. two-party consent states).</w:t>
      </w:r>
    </w:p>
    <w:p>
      <w:pPr>
        <w:pStyle w:val="Heading1"/>
        <w:spacing w:after="140" w:before="320"/>
      </w:pPr>
      <w:r>
        <w:rPr>
          <w:rFonts w:ascii="Calibri" w:cs="Calibri" w:eastAsia="Calibri" w:hAnsi="Calibri"/>
          <w:b/>
          <w:bCs/>
          <w:color w:val="1F3864"/>
          <w:sz w:val="30"/>
          <w:szCs w:val="30"/>
        </w:rPr>
        <w:t xml:space="preserve">9. Sources</w:t>
      </w:r>
    </w:p>
    <w:p>
      <w:pPr>
        <w:pStyle w:val="ListParagraph"/>
        <w:numPr>
          <w:ilvl w:val="0"/>
          <w:numId w:val="2"/>
        </w:numPr>
        <w:spacing w:after="80" w:line="276"/>
      </w:pPr>
      <w:r>
        <w:rPr>
          <w:rFonts w:ascii="Calibri" w:cs="Calibri" w:eastAsia="Calibri" w:hAnsi="Calibri"/>
          <w:sz w:val="22"/>
          <w:szCs w:val="22"/>
        </w:rPr>
        <w:t xml:space="preserve">Global TAM projections: </w:t>
      </w:r>
      <w:hyperlink w:history="1" r:id="rIdnvayw2smupcm05wtcbkf-">
        <w:r>
          <w:rPr>
            <w:rStyle w:val="Hyperlink"/>
            <w:rFonts w:ascii="Calibri" w:cs="Calibri" w:eastAsia="Calibri" w:hAnsi="Calibri"/>
            <w:sz w:val="22"/>
            <w:szCs w:val="22"/>
          </w:rPr>
          <w:t xml:space="preserve">marketintelo.com/report/locksmith-services-market</w:t>
        </w:r>
      </w:hyperlink>
    </w:p>
    <w:p>
      <w:pPr>
        <w:pStyle w:val="ListParagraph"/>
        <w:numPr>
          <w:ilvl w:val="0"/>
          <w:numId w:val="2"/>
        </w:numPr>
        <w:spacing w:after="80" w:line="276"/>
      </w:pPr>
      <w:r>
        <w:rPr>
          <w:rFonts w:ascii="Calibri" w:cs="Calibri" w:eastAsia="Calibri" w:hAnsi="Calibri"/>
          <w:sz w:val="22"/>
          <w:szCs w:val="22"/>
        </w:rPr>
        <w:t xml:space="preserve">U.S. market valuation and missed-call economics: </w:t>
      </w:r>
      <w:hyperlink w:history="1" r:id="rIdiyc3p9vbossrzdpyfgncn">
        <w:r>
          <w:rPr>
            <w:rStyle w:val="Hyperlink"/>
            <w:rFonts w:ascii="Calibri" w:cs="Calibri" w:eastAsia="Calibri" w:hAnsi="Calibri"/>
            <w:sz w:val="22"/>
            <w:szCs w:val="22"/>
          </w:rPr>
          <w:t xml:space="preserve">thekeybot.com/research/state-of-locksmith-industry-2026</w:t>
        </w:r>
      </w:hyperlink>
    </w:p>
    <w:p>
      <w:pPr>
        <w:pStyle w:val="ListParagraph"/>
        <w:numPr>
          <w:ilvl w:val="0"/>
          <w:numId w:val="2"/>
        </w:numPr>
        <w:spacing w:after="80" w:line="276"/>
      </w:pPr>
      <w:r>
        <w:rPr>
          <w:rFonts w:ascii="Calibri" w:cs="Calibri" w:eastAsia="Calibri" w:hAnsi="Calibri"/>
          <w:sz w:val="22"/>
          <w:szCs w:val="22"/>
        </w:rPr>
        <w:t xml:space="preserve">Emergency call statistics and the 90-second decision window: </w:t>
      </w:r>
      <w:hyperlink w:history="1" r:id="rIdq_b09xkhjh-lchgim-bhe">
        <w:r>
          <w:rPr>
            <w:rStyle w:val="Hyperlink"/>
            <w:rFonts w:ascii="Calibri" w:cs="Calibri" w:eastAsia="Calibri" w:hAnsi="Calibri"/>
            <w:sz w:val="22"/>
            <w:szCs w:val="22"/>
          </w:rPr>
          <w:t xml:space="preserve">agentzap.ai/blog/locksmith-phone-statistics</w:t>
        </w:r>
      </w:hyperlink>
    </w:p>
    <w:p>
      <w:pPr>
        <w:pStyle w:val="ListParagraph"/>
        <w:numPr>
          <w:ilvl w:val="0"/>
          <w:numId w:val="2"/>
        </w:numPr>
        <w:spacing w:after="80" w:line="276"/>
      </w:pPr>
      <w:r>
        <w:rPr>
          <w:rFonts w:ascii="Calibri" w:cs="Calibri" w:eastAsia="Calibri" w:hAnsi="Calibri"/>
          <w:sz w:val="22"/>
          <w:szCs w:val="22"/>
        </w:rPr>
        <w:t xml:space="preserve">“Telephone market” scam mechanics and bait pricing: </w:t>
      </w:r>
      <w:hyperlink w:history="1" r:id="rIdva5uvtmqblqsvhj3ddnwv">
        <w:r>
          <w:rPr>
            <w:rStyle w:val="Hyperlink"/>
            <w:rFonts w:ascii="Calibri" w:cs="Calibri" w:eastAsia="Calibri" w:hAnsi="Calibri"/>
            <w:sz w:val="22"/>
            <w:szCs w:val="22"/>
          </w:rPr>
          <w:t xml:space="preserve">marlinsem.com/google-ads-for-locksmiths</w:t>
        </w:r>
      </w:hyperlink>
    </w:p>
    <w:p>
      <w:pPr>
        <w:pStyle w:val="ListParagraph"/>
        <w:numPr>
          <w:ilvl w:val="0"/>
          <w:numId w:val="2"/>
        </w:numPr>
        <w:spacing w:after="80" w:line="276"/>
      </w:pPr>
      <w:r>
        <w:rPr>
          <w:rFonts w:ascii="Calibri" w:cs="Calibri" w:eastAsia="Calibri" w:hAnsi="Calibri"/>
          <w:sz w:val="22"/>
          <w:szCs w:val="22"/>
        </w:rPr>
        <w:t xml:space="preserve">Success-fee benchmark (20–25% take rate): </w:t>
      </w:r>
      <w:hyperlink w:history="1" r:id="rIdy32wfavco64vafkiosmb8">
        <w:r>
          <w:rPr>
            <w:rStyle w:val="Hyperlink"/>
            <w:rFonts w:ascii="Calibri" w:cs="Calibri" w:eastAsia="Calibri" w:hAnsi="Calibri"/>
            <w:sz w:val="22"/>
            <w:szCs w:val="22"/>
          </w:rPr>
          <w:t xml:space="preserve">goodbill.com</w:t>
        </w:r>
      </w:hyperlink>
    </w:p>
    <w:p>
      <w:pPr>
        <w:pStyle w:val="ListParagraph"/>
        <w:numPr>
          <w:ilvl w:val="0"/>
          <w:numId w:val="2"/>
        </w:numPr>
        <w:spacing w:after="80" w:line="276"/>
      </w:pPr>
      <w:r>
        <w:rPr>
          <w:rFonts w:ascii="Calibri" w:cs="Calibri" w:eastAsia="Calibri" w:hAnsi="Calibri"/>
          <w:sz w:val="22"/>
          <w:szCs w:val="22"/>
        </w:rPr>
        <w:t xml:space="preserve">NYC lockout incidence (1.9M/year): </w:t>
      </w:r>
      <w:hyperlink w:history="1" r:id="rIdbwj314ehvu3xfjpwxeurm">
        <w:r>
          <w:rPr>
            <w:rStyle w:val="Hyperlink"/>
            <w:rFonts w:ascii="Calibri" w:cs="Calibri" w:eastAsia="Calibri" w:hAnsi="Calibri"/>
            <w:sz w:val="22"/>
            <w:szCs w:val="22"/>
          </w:rPr>
          <w:t xml:space="preserve">brickunderground.com</w:t>
        </w:r>
      </w:hyperlink>
    </w:p>
    <w:p>
      <w:pPr>
        <w:pStyle w:val="ListParagraph"/>
        <w:numPr>
          <w:ilvl w:val="0"/>
          <w:numId w:val="2"/>
        </w:numPr>
        <w:spacing w:after="80" w:line="276"/>
      </w:pPr>
      <w:r>
        <w:rPr>
          <w:rFonts w:ascii="Calibri" w:cs="Calibri" w:eastAsia="Calibri" w:hAnsi="Calibri"/>
          <w:sz w:val="22"/>
          <w:szCs w:val="22"/>
        </w:rPr>
        <w:t xml:space="preserve">The Guardian (July 2026), 147% scam surge: </w:t>
      </w:r>
      <w:hyperlink w:history="1" r:id="rIdlrdwtooni9yf26jpdlnlj">
        <w:r>
          <w:rPr>
            <w:rStyle w:val="Hyperlink"/>
            <w:rFonts w:ascii="Calibri" w:cs="Calibri" w:eastAsia="Calibri" w:hAnsi="Calibri"/>
            <w:sz w:val="22"/>
            <w:szCs w:val="22"/>
          </w:rPr>
          <w:t xml:space="preserve">theguardian.com/money/2026/jul/15/…locksmith-scams</w:t>
        </w:r>
      </w:hyperlink>
    </w:p>
    <w:p>
      <w:pPr>
        <w:pStyle w:val="ListParagraph"/>
        <w:numPr>
          <w:ilvl w:val="0"/>
          <w:numId w:val="2"/>
        </w:numPr>
        <w:spacing w:after="80" w:line="276"/>
      </w:pPr>
      <w:r>
        <w:rPr>
          <w:rFonts w:ascii="Calibri" w:cs="Calibri" w:eastAsia="Calibri" w:hAnsi="Calibri"/>
          <w:sz w:val="22"/>
          <w:szCs w:val="22"/>
        </w:rPr>
        <w:t xml:space="preserve">Master Locksmiths Association — surge in rogue locksmiths, 65% overpay $250+: </w:t>
      </w:r>
      <w:hyperlink w:history="1" r:id="rId6vbidncq5lbhj1hwg5gcm">
        <w:r>
          <w:rPr>
            <w:rStyle w:val="Hyperlink"/>
            <w:rFonts w:ascii="Calibri" w:cs="Calibri" w:eastAsia="Calibri" w:hAnsi="Calibri"/>
            <w:sz w:val="22"/>
            <w:szCs w:val="22"/>
          </w:rPr>
          <w:t xml:space="preserve">locksmiths.co.uk/research-reveals-surge-in-rogue-locksmiths</w:t>
        </w:r>
      </w:hyperlink>
    </w:p>
    <w:p>
      <w:pPr>
        <w:pStyle w:val="ListParagraph"/>
        <w:numPr>
          <w:ilvl w:val="0"/>
          <w:numId w:val="2"/>
        </w:numPr>
        <w:spacing w:after="80" w:line="276"/>
      </w:pPr>
      <w:r>
        <w:rPr>
          <w:rFonts w:ascii="Calibri" w:cs="Calibri" w:eastAsia="Calibri" w:hAnsi="Calibri"/>
          <w:sz w:val="22"/>
          <w:szCs w:val="22"/>
        </w:rPr>
        <w:t xml:space="preserve">MoneySuperMarket — locksmith scam reports up 66%: </w:t>
      </w:r>
      <w:hyperlink w:history="1" r:id="rIdqeuu4gyrq4e-2weafdbw9">
        <w:r>
          <w:rPr>
            <w:rStyle w:val="Hyperlink"/>
            <w:rFonts w:ascii="Calibri" w:cs="Calibri" w:eastAsia="Calibri" w:hAnsi="Calibri"/>
            <w:sz w:val="22"/>
            <w:szCs w:val="22"/>
          </w:rPr>
          <w:t xml:space="preserve">moneysupermarket.com/news/increase-in-locksmith-scams</w:t>
        </w:r>
      </w:hyperlink>
    </w:p>
    <w:p>
      <w:pPr>
        <w:pStyle w:val="ListParagraph"/>
        <w:numPr>
          <w:ilvl w:val="0"/>
          <w:numId w:val="2"/>
        </w:numPr>
        <w:spacing w:after="80" w:line="276"/>
      </w:pPr>
      <w:r>
        <w:rPr>
          <w:rFonts w:ascii="Calibri" w:cs="Calibri" w:eastAsia="Calibri" w:hAnsi="Calibri"/>
          <w:sz w:val="22"/>
          <w:szCs w:val="22"/>
        </w:rPr>
        <w:t xml:space="preserve">Wikipedia — locksmith scam mechanics (fake call centers, 5–10x markups): </w:t>
      </w:r>
      <w:hyperlink w:history="1" r:id="rIddukilesrdmr4qcke_uz6p">
        <w:r>
          <w:rPr>
            <w:rStyle w:val="Hyperlink"/>
            <w:rFonts w:ascii="Calibri" w:cs="Calibri" w:eastAsia="Calibri" w:hAnsi="Calibri"/>
            <w:sz w:val="22"/>
            <w:szCs w:val="22"/>
          </w:rPr>
          <w:t xml:space="preserve">en.wikipedia.org/wiki/Locksmith_scam</w:t>
        </w:r>
      </w:hyperlink>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vayw2smupcm05wtcbkf-" Type="http://schemas.openxmlformats.org/officeDocument/2006/relationships/hyperlink" Target="https://marketintelo.com/report/locksmith-services-market" TargetMode="External"/><Relationship Id="rIdiyc3p9vbossrzdpyfgncn" Type="http://schemas.openxmlformats.org/officeDocument/2006/relationships/hyperlink" Target="https://www.thekeybot.com/research/state-of-locksmith-industry-2026" TargetMode="External"/><Relationship Id="rIdq_b09xkhjh-lchgim-bhe" Type="http://schemas.openxmlformats.org/officeDocument/2006/relationships/hyperlink" Target="https://agentzap.ai/blog/locksmith-phone-statistics" TargetMode="External"/><Relationship Id="rIdva5uvtmqblqsvhj3ddnwv" Type="http://schemas.openxmlformats.org/officeDocument/2006/relationships/hyperlink" Target="https://marlinsem.com/google-ads-for-locksmiths/" TargetMode="External"/><Relationship Id="rIdy32wfavco64vafkiosmb8" Type="http://schemas.openxmlformats.org/officeDocument/2006/relationships/hyperlink" Target="https://www.goodbill.com/" TargetMode="External"/><Relationship Id="rIdbwj314ehvu3xfjpwxeurm" Type="http://schemas.openxmlformats.org/officeDocument/2006/relationships/hyperlink" Target="https://www.brickunderground.com/blog/get_locked_out_all_the_time_blame_your_gender" TargetMode="External"/><Relationship Id="rIdlrdwtooni9yf26jpdlnlj" Type="http://schemas.openxmlformats.org/officeDocument/2006/relationships/hyperlink" Target="https://www.theguardian.com/money/2026/jul/15/the-scary-rise-of-locksmith-scams-i-was-shut-out-with-my-baby-and-charged-2200-to-get-back-in" TargetMode="External"/><Relationship Id="rId6vbidncq5lbhj1hwg5gcm" Type="http://schemas.openxmlformats.org/officeDocument/2006/relationships/hyperlink" Target="https://www.locksmiths.co.uk/research-reveals-surge-in-rogue-locksmiths/" TargetMode="External"/><Relationship Id="rIdqeuu4gyrq4e-2weafdbw9" Type="http://schemas.openxmlformats.org/officeDocument/2006/relationships/hyperlink" Target="https://www.moneysupermarket.com/news/increase-in-locksmith-scams/" TargetMode="External"/><Relationship Id="rIddukilesrdmr4qcke_uz6p" Type="http://schemas.openxmlformats.org/officeDocument/2006/relationships/hyperlink" Target="https://en.wikipedia.org/wiki/Locksmith_sca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2026-07-18T23:43:27.670Z</dcterms:created>
  <dcterms:modified xsi:type="dcterms:W3CDTF">2026-07-18T23:43:27.702Z</dcterms:modified>
</cp:coreProperties>
</file>

<file path=docProps/custom.xml><?xml version="1.0" encoding="utf-8"?>
<Properties xmlns="http://schemas.openxmlformats.org/officeDocument/2006/custom-properties" xmlns:vt="http://schemas.openxmlformats.org/officeDocument/2006/docPropsVTypes"/>
</file>